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EB" w:rsidRPr="006C42BB" w:rsidRDefault="009446EB" w:rsidP="009446EB">
      <w:pPr>
        <w:spacing w:line="600" w:lineRule="exact"/>
        <w:jc w:val="left"/>
        <w:rPr>
          <w:rFonts w:eastAsia="黑体"/>
          <w:bCs/>
          <w:color w:val="000000"/>
          <w:kern w:val="0"/>
          <w:sz w:val="32"/>
          <w:szCs w:val="32"/>
        </w:rPr>
      </w:pPr>
      <w:r w:rsidRPr="006C42BB">
        <w:rPr>
          <w:rFonts w:eastAsia="黑体"/>
          <w:bCs/>
          <w:color w:val="000000"/>
          <w:kern w:val="0"/>
          <w:sz w:val="32"/>
          <w:szCs w:val="32"/>
        </w:rPr>
        <w:t>附</w:t>
      </w:r>
      <w:r w:rsidRPr="006C42BB">
        <w:rPr>
          <w:rFonts w:eastAsia="黑体"/>
          <w:bCs/>
          <w:color w:val="000000"/>
          <w:kern w:val="0"/>
          <w:sz w:val="32"/>
          <w:szCs w:val="32"/>
        </w:rPr>
        <w:t xml:space="preserve">  </w:t>
      </w:r>
      <w:r w:rsidRPr="006C42BB">
        <w:rPr>
          <w:rFonts w:eastAsia="黑体"/>
          <w:bCs/>
          <w:color w:val="000000"/>
          <w:kern w:val="0"/>
          <w:sz w:val="32"/>
          <w:szCs w:val="32"/>
        </w:rPr>
        <w:t>件</w:t>
      </w:r>
    </w:p>
    <w:p w:rsidR="009446EB" w:rsidRPr="006C42BB" w:rsidRDefault="009446EB" w:rsidP="009446EB">
      <w:pPr>
        <w:widowControl/>
        <w:spacing w:beforeLines="50" w:afterLines="50"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 w:rsidRPr="006C42BB">
        <w:rPr>
          <w:rFonts w:eastAsia="方正小标宋简体"/>
          <w:bCs/>
          <w:color w:val="000000"/>
          <w:kern w:val="0"/>
          <w:sz w:val="44"/>
          <w:szCs w:val="44"/>
        </w:rPr>
        <w:t>河南省</w:t>
      </w:r>
      <w:r w:rsidRPr="006C42BB">
        <w:rPr>
          <w:rFonts w:eastAsia="仿宋"/>
          <w:bCs/>
          <w:color w:val="000000"/>
          <w:kern w:val="0"/>
          <w:sz w:val="44"/>
          <w:szCs w:val="44"/>
        </w:rPr>
        <w:t>2020</w:t>
      </w:r>
      <w:r w:rsidRPr="006C42BB">
        <w:rPr>
          <w:rFonts w:eastAsia="方正小标宋简体"/>
          <w:bCs/>
          <w:color w:val="000000"/>
          <w:kern w:val="0"/>
          <w:sz w:val="44"/>
          <w:szCs w:val="44"/>
        </w:rPr>
        <w:t>年粮改饲试点任务分配表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434"/>
        <w:gridCol w:w="1463"/>
        <w:gridCol w:w="1482"/>
        <w:gridCol w:w="1448"/>
        <w:gridCol w:w="2288"/>
      </w:tblGrid>
      <w:tr w:rsidR="009446EB" w:rsidRPr="006C42BB" w:rsidTr="00E14DB2">
        <w:trPr>
          <w:trHeight w:val="626"/>
          <w:jc w:val="center"/>
        </w:trPr>
        <w:tc>
          <w:tcPr>
            <w:tcW w:w="683" w:type="dxa"/>
            <w:vMerge w:val="restart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C42BB"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4" w:type="dxa"/>
            <w:vMerge w:val="restart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C42BB">
              <w:rPr>
                <w:rFonts w:eastAsia="黑体"/>
                <w:kern w:val="0"/>
                <w:sz w:val="22"/>
                <w:szCs w:val="22"/>
              </w:rPr>
              <w:t>省辖市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C42BB">
              <w:rPr>
                <w:rFonts w:eastAsia="黑体"/>
                <w:kern w:val="0"/>
                <w:sz w:val="22"/>
                <w:szCs w:val="22"/>
              </w:rPr>
              <w:t>项目县</w:t>
            </w:r>
          </w:p>
        </w:tc>
        <w:tc>
          <w:tcPr>
            <w:tcW w:w="5218" w:type="dxa"/>
            <w:gridSpan w:val="3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6C42BB">
              <w:rPr>
                <w:rFonts w:eastAsia="黑体"/>
                <w:kern w:val="0"/>
                <w:sz w:val="22"/>
                <w:szCs w:val="22"/>
              </w:rPr>
              <w:t>2020</w:t>
            </w:r>
            <w:r w:rsidRPr="006C42BB">
              <w:rPr>
                <w:rFonts w:eastAsia="黑体"/>
                <w:kern w:val="0"/>
                <w:sz w:val="22"/>
                <w:szCs w:val="22"/>
              </w:rPr>
              <w:t>年目标任务分配情况</w:t>
            </w:r>
          </w:p>
        </w:tc>
      </w:tr>
      <w:tr w:rsidR="009446EB" w:rsidRPr="006C42BB" w:rsidTr="00E14DB2">
        <w:trPr>
          <w:trHeight w:val="960"/>
          <w:jc w:val="center"/>
        </w:trPr>
        <w:tc>
          <w:tcPr>
            <w:tcW w:w="683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6C42BB">
              <w:rPr>
                <w:rFonts w:eastAsia="黑体"/>
                <w:kern w:val="0"/>
                <w:szCs w:val="21"/>
              </w:rPr>
              <w:t>核定面积</w:t>
            </w:r>
          </w:p>
          <w:p w:rsidR="009446EB" w:rsidRPr="006C42BB" w:rsidRDefault="009446EB" w:rsidP="00E14DB2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6C42BB">
              <w:rPr>
                <w:rFonts w:eastAsia="黑体"/>
                <w:kern w:val="0"/>
                <w:szCs w:val="21"/>
              </w:rPr>
              <w:t>（万亩）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6C42BB">
              <w:rPr>
                <w:rFonts w:eastAsia="黑体"/>
                <w:kern w:val="0"/>
                <w:szCs w:val="21"/>
              </w:rPr>
              <w:t>核定任务数（万吨）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6C42BB">
              <w:rPr>
                <w:rFonts w:eastAsia="黑体"/>
                <w:kern w:val="0"/>
                <w:szCs w:val="21"/>
              </w:rPr>
              <w:t>备</w:t>
            </w:r>
            <w:r w:rsidRPr="006C42BB">
              <w:rPr>
                <w:rFonts w:eastAsia="黑体"/>
                <w:kern w:val="0"/>
                <w:szCs w:val="21"/>
              </w:rPr>
              <w:t xml:space="preserve">  </w:t>
            </w:r>
            <w:r w:rsidRPr="006C42BB">
              <w:rPr>
                <w:rFonts w:eastAsia="黑体"/>
                <w:kern w:val="0"/>
                <w:szCs w:val="21"/>
              </w:rPr>
              <w:t>注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3580" w:type="dxa"/>
            <w:gridSpan w:val="3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全省合计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100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288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bookmarkStart w:id="0" w:name="_GoBack" w:colFirst="3" w:colLast="3"/>
            <w:r w:rsidRPr="006C42BB">
              <w:rPr>
                <w:bCs/>
                <w:kern w:val="0"/>
                <w:szCs w:val="21"/>
              </w:rPr>
              <w:t>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郑州市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荥阳市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1.88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5.4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2</w:t>
            </w:r>
          </w:p>
        </w:tc>
        <w:tc>
          <w:tcPr>
            <w:tcW w:w="1434" w:type="dxa"/>
            <w:vMerge w:val="restart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开封市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祥符区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1.98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5.7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3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尉氏县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0.56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1.6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4</w:t>
            </w:r>
          </w:p>
        </w:tc>
        <w:tc>
          <w:tcPr>
            <w:tcW w:w="1434" w:type="dxa"/>
            <w:vMerge w:val="restart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洛阳市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孟津县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4.06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11.7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5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偃师市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0.83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2.4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6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洛宁县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1.63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4.7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7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伊川县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1.56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4.5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8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嵩县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0.31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0.9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9</w:t>
            </w:r>
          </w:p>
        </w:tc>
        <w:tc>
          <w:tcPr>
            <w:tcW w:w="1434" w:type="dxa"/>
            <w:vMerge w:val="restart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平顶山市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鲁山县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1.04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3.0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10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宝丰县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2.29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6.6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11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叶县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0.38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1.1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12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安阳市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汤阴县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0.35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1.0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13</w:t>
            </w:r>
          </w:p>
        </w:tc>
        <w:tc>
          <w:tcPr>
            <w:tcW w:w="1434" w:type="dxa"/>
            <w:vMerge w:val="restart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鹤壁市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浚县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</w:p>
        </w:tc>
        <w:tc>
          <w:tcPr>
            <w:tcW w:w="1448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  <w:r w:rsidRPr="006C42BB">
              <w:rPr>
                <w:rFonts w:eastAsia="仿宋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继续完成</w:t>
            </w: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2019</w:t>
            </w: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年任务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14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淇县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0.28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0.8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15</w:t>
            </w:r>
          </w:p>
        </w:tc>
        <w:tc>
          <w:tcPr>
            <w:tcW w:w="1434" w:type="dxa"/>
            <w:vMerge w:val="restart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新乡市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原阳县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3.65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10.5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16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辉县市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1.70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4.9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17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延津县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0.66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1.9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18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平原新区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0.87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2.5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19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凤泉区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0.42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1.2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20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卫辉市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0.45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1.3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21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新乡县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0.10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0.3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22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获嘉县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0.56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1.6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23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卫滨区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0.14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0.4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24</w:t>
            </w:r>
          </w:p>
        </w:tc>
        <w:tc>
          <w:tcPr>
            <w:tcW w:w="1434" w:type="dxa"/>
            <w:vMerge w:val="restart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焦作市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武陟县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1.90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5.5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lastRenderedPageBreak/>
              <w:t>25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修武县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继续完成</w:t>
            </w: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2019</w:t>
            </w: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年任务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26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沁阳县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继续完成</w:t>
            </w: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2019</w:t>
            </w: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年任务</w:t>
            </w:r>
          </w:p>
        </w:tc>
      </w:tr>
      <w:tr w:rsidR="009446EB" w:rsidRPr="006C42BB" w:rsidTr="00E14DB2">
        <w:trPr>
          <w:trHeight w:hRule="exact" w:val="714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27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spacing w:line="240" w:lineRule="exact"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spacing w:line="240" w:lineRule="exact"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城乡一体化示范区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spacing w:line="240" w:lineRule="exact"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0.35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spacing w:line="240" w:lineRule="exact"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1.0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spacing w:line="240" w:lineRule="exact"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28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博爱县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0.56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1.6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29</w:t>
            </w:r>
          </w:p>
        </w:tc>
        <w:tc>
          <w:tcPr>
            <w:tcW w:w="1434" w:type="dxa"/>
            <w:vMerge w:val="restart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濮阳市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濮阳县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3.33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9.6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30</w:t>
            </w:r>
          </w:p>
        </w:tc>
        <w:tc>
          <w:tcPr>
            <w:tcW w:w="1434" w:type="dxa"/>
            <w:vMerge/>
            <w:shd w:val="clear" w:color="000000" w:fill="FFFFFF"/>
            <w:vAlign w:val="center"/>
          </w:tcPr>
          <w:p w:rsidR="009446EB" w:rsidRPr="006C42BB" w:rsidRDefault="009446EB" w:rsidP="00E14DB2">
            <w:pPr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南乐县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继续完成</w:t>
            </w: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2019</w:t>
            </w: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年任务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31</w:t>
            </w:r>
          </w:p>
        </w:tc>
        <w:tc>
          <w:tcPr>
            <w:tcW w:w="1434" w:type="dxa"/>
            <w:vMerge/>
            <w:shd w:val="clear" w:color="000000" w:fill="FFFFFF"/>
            <w:vAlign w:val="center"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台前县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2.43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7.0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32</w:t>
            </w:r>
          </w:p>
        </w:tc>
        <w:tc>
          <w:tcPr>
            <w:tcW w:w="1434" w:type="dxa"/>
            <w:vMerge w:val="restart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许昌市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禹州市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0.69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2.0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33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长葛市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0.31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0.9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34</w:t>
            </w:r>
          </w:p>
        </w:tc>
        <w:tc>
          <w:tcPr>
            <w:tcW w:w="1434" w:type="dxa"/>
            <w:vMerge w:val="restart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商丘市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柘城县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2.36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6.8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35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虞城县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1.39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4.0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36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睢县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0.35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1.0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37</w:t>
            </w:r>
          </w:p>
        </w:tc>
        <w:tc>
          <w:tcPr>
            <w:tcW w:w="1434" w:type="dxa"/>
            <w:vMerge w:val="restart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周口市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太康县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4.76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13.7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38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沈丘县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1.15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3.3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39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扶沟县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0.94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2.7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40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西华县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0.52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1.5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41</w:t>
            </w:r>
          </w:p>
        </w:tc>
        <w:tc>
          <w:tcPr>
            <w:tcW w:w="1434" w:type="dxa"/>
            <w:vMerge w:val="restart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驻马店市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确山县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1.74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5.0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42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平舆县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2.50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7.2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43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泌阳县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4.97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14.3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44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上蔡县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3.13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9.0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45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西平县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0.66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1.9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46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遂平县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继续完成</w:t>
            </w: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2019</w:t>
            </w: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年任务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47</w:t>
            </w:r>
          </w:p>
        </w:tc>
        <w:tc>
          <w:tcPr>
            <w:tcW w:w="1434" w:type="dxa"/>
            <w:vMerge w:val="restart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南阳市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镇平县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0.87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2.5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48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南召县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继续完成</w:t>
            </w: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2019</w:t>
            </w: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年任务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49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卧龙区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1.74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5.0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50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社旗县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2.50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7.2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51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新野县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2.26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6.5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52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桐柏县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1.84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5.3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53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内乡县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0.69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2.0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54</w:t>
            </w:r>
          </w:p>
        </w:tc>
        <w:tc>
          <w:tcPr>
            <w:tcW w:w="1434" w:type="dxa"/>
            <w:vMerge w:val="restart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信阳市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平桥区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0.80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2.3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55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淮滨县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0.56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1.6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56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息县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0.56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1.6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lastRenderedPageBreak/>
              <w:t>57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济源示范区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济源示范区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2.08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6.0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58</w:t>
            </w:r>
          </w:p>
        </w:tc>
        <w:tc>
          <w:tcPr>
            <w:tcW w:w="1434" w:type="dxa"/>
            <w:vMerge w:val="restart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省直管县（市）、财政直管县（市）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中牟县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2.81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8.1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59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兰考县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1.94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5.6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60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汝州市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1.42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4.1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61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郏县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0.45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1.3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62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滑县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2.08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6.0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63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长垣县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0.76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2.2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64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封丘县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继续完成</w:t>
            </w: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2019</w:t>
            </w: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年任务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65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温县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0.56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1.6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66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卢氏县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0.35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1.0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67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邓州市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3.16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9.1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68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唐河县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2.80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8.1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69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永城市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3.82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11.0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70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项城市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0.76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2.2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71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郸城县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继续完成</w:t>
            </w: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2019</w:t>
            </w: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>年任务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72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正阳县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1.60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4.6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73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新蔡县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2.99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8.6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74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固始县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0.17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0.5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446EB" w:rsidRPr="006C42BB" w:rsidTr="00E14DB2">
        <w:trPr>
          <w:trHeight w:hRule="exact" w:val="425"/>
          <w:jc w:val="center"/>
        </w:trPr>
        <w:tc>
          <w:tcPr>
            <w:tcW w:w="683" w:type="dxa"/>
            <w:shd w:val="clear" w:color="000000" w:fill="FFFFFF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C42BB">
              <w:rPr>
                <w:bCs/>
                <w:kern w:val="0"/>
                <w:szCs w:val="21"/>
              </w:rPr>
              <w:t>75</w:t>
            </w:r>
          </w:p>
        </w:tc>
        <w:tc>
          <w:tcPr>
            <w:tcW w:w="1434" w:type="dxa"/>
            <w:vMerge/>
            <w:vAlign w:val="center"/>
            <w:hideMark/>
          </w:tcPr>
          <w:p w:rsidR="009446EB" w:rsidRPr="006C42BB" w:rsidRDefault="009446EB" w:rsidP="00E14DB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6C42BB">
              <w:rPr>
                <w:rFonts w:eastAsia="仿宋"/>
                <w:bCs/>
                <w:kern w:val="0"/>
                <w:szCs w:val="21"/>
              </w:rPr>
              <w:t>范县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color w:val="000000"/>
                <w:sz w:val="22"/>
              </w:rPr>
              <w:t xml:space="preserve">0.69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</w:rPr>
            </w:pPr>
            <w:r w:rsidRPr="006C42BB">
              <w:rPr>
                <w:rFonts w:eastAsia="仿宋"/>
                <w:bCs/>
                <w:kern w:val="0"/>
                <w:sz w:val="22"/>
              </w:rPr>
              <w:t xml:space="preserve">2.0 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9446EB" w:rsidRPr="006C42BB" w:rsidRDefault="009446EB" w:rsidP="00E14DB2">
            <w:pPr>
              <w:widowControl/>
              <w:jc w:val="center"/>
              <w:rPr>
                <w:rFonts w:eastAsia="仿宋"/>
                <w:bCs/>
                <w:kern w:val="0"/>
                <w:sz w:val="22"/>
                <w:szCs w:val="22"/>
              </w:rPr>
            </w:pPr>
            <w:r w:rsidRPr="006C42BB">
              <w:rPr>
                <w:rFonts w:eastAsia="仿宋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bookmarkEnd w:id="0"/>
    </w:tbl>
    <w:p w:rsidR="009446EB" w:rsidRPr="006C42BB" w:rsidRDefault="009446EB" w:rsidP="009446EB">
      <w:pPr>
        <w:spacing w:line="120" w:lineRule="exact"/>
        <w:rPr>
          <w:rFonts w:eastAsia="方正仿宋简体"/>
          <w:color w:val="000000"/>
          <w:sz w:val="32"/>
          <w:u w:val="single"/>
        </w:rPr>
      </w:pPr>
    </w:p>
    <w:p w:rsidR="009446EB" w:rsidRPr="006C42BB" w:rsidRDefault="009446EB" w:rsidP="009446EB">
      <w:pPr>
        <w:spacing w:line="600" w:lineRule="exact"/>
        <w:rPr>
          <w:rFonts w:eastAsia="方正仿宋简体"/>
          <w:color w:val="000000"/>
          <w:sz w:val="32"/>
          <w:u w:val="single"/>
        </w:rPr>
      </w:pPr>
    </w:p>
    <w:p w:rsidR="009446EB" w:rsidRPr="006C42BB" w:rsidRDefault="009446EB" w:rsidP="009446EB">
      <w:pPr>
        <w:spacing w:line="600" w:lineRule="exact"/>
        <w:rPr>
          <w:rFonts w:eastAsia="方正仿宋简体"/>
          <w:color w:val="000000"/>
          <w:sz w:val="32"/>
          <w:u w:val="single"/>
        </w:rPr>
      </w:pPr>
    </w:p>
    <w:p w:rsidR="00EE6FEE" w:rsidRDefault="00237170"/>
    <w:sectPr w:rsidR="00EE6FEE" w:rsidSect="00FD765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70" w:rsidRDefault="00237170" w:rsidP="009446EB">
      <w:r>
        <w:separator/>
      </w:r>
    </w:p>
  </w:endnote>
  <w:endnote w:type="continuationSeparator" w:id="1">
    <w:p w:rsidR="00237170" w:rsidRDefault="00237170" w:rsidP="0094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08235"/>
      <w:docPartObj>
        <w:docPartGallery w:val="Page Numbers (Bottom of Page)"/>
        <w:docPartUnique/>
      </w:docPartObj>
    </w:sdtPr>
    <w:sdtContent>
      <w:p w:rsidR="009446EB" w:rsidRDefault="009446EB">
        <w:pPr>
          <w:pStyle w:val="a4"/>
          <w:jc w:val="center"/>
        </w:pPr>
        <w:fldSimple w:instr=" PAGE   \* MERGEFORMAT ">
          <w:r w:rsidRPr="009446EB">
            <w:rPr>
              <w:noProof/>
              <w:lang w:val="zh-CN"/>
            </w:rPr>
            <w:t>2</w:t>
          </w:r>
        </w:fldSimple>
      </w:p>
    </w:sdtContent>
  </w:sdt>
  <w:p w:rsidR="009446EB" w:rsidRDefault="009446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70" w:rsidRDefault="00237170" w:rsidP="009446EB">
      <w:r>
        <w:separator/>
      </w:r>
    </w:p>
  </w:footnote>
  <w:footnote w:type="continuationSeparator" w:id="1">
    <w:p w:rsidR="00237170" w:rsidRDefault="00237170" w:rsidP="00944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6EB"/>
    <w:rsid w:val="000465F3"/>
    <w:rsid w:val="00170D7A"/>
    <w:rsid w:val="00237170"/>
    <w:rsid w:val="009446EB"/>
    <w:rsid w:val="00FD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6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6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</Words>
  <Characters>1553</Characters>
  <Application>Microsoft Office Word</Application>
  <DocSecurity>0</DocSecurity>
  <Lines>12</Lines>
  <Paragraphs>3</Paragraphs>
  <ScaleCrop>false</ScaleCrop>
  <Company>MS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2020-08-27T02:24:00Z</dcterms:created>
  <dcterms:modified xsi:type="dcterms:W3CDTF">2020-08-27T02:27:00Z</dcterms:modified>
</cp:coreProperties>
</file>