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2</w:t>
      </w:r>
    </w:p>
    <w:p>
      <w:pPr>
        <w:spacing w:line="600" w:lineRule="exact"/>
        <w:jc w:val="center"/>
        <w:rPr>
          <w:rFonts w:ascii="楷体_GB2312" w:eastAsia="楷体_GB2312"/>
        </w:rPr>
      </w:pPr>
      <w:r>
        <w:rPr>
          <w:rFonts w:hint="eastAsia" w:eastAsia="黑体"/>
          <w:sz w:val="40"/>
          <w:szCs w:val="40"/>
          <w:lang w:eastAsia="zh-CN"/>
        </w:rPr>
        <w:t>投档平台</w:t>
      </w:r>
      <w:r>
        <w:rPr>
          <w:rFonts w:hint="eastAsia" w:eastAsia="黑体"/>
          <w:sz w:val="40"/>
          <w:szCs w:val="40"/>
        </w:rPr>
        <w:t>内</w:t>
      </w:r>
      <w:r>
        <w:rPr>
          <w:rFonts w:hint="eastAsia" w:eastAsia="黑体"/>
          <w:sz w:val="40"/>
          <w:szCs w:val="40"/>
          <w:lang w:eastAsia="zh-CN"/>
        </w:rPr>
        <w:t>已退回</w:t>
      </w:r>
      <w:r>
        <w:rPr>
          <w:rFonts w:hint="eastAsia" w:eastAsia="黑体"/>
          <w:sz w:val="40"/>
          <w:szCs w:val="40"/>
        </w:rPr>
        <w:t>需重新投档产品的品目和档次</w:t>
      </w:r>
    </w:p>
    <w:tbl>
      <w:tblPr>
        <w:tblStyle w:val="5"/>
        <w:tblW w:w="14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880"/>
        <w:gridCol w:w="730"/>
        <w:gridCol w:w="889"/>
        <w:gridCol w:w="2268"/>
        <w:gridCol w:w="2554"/>
        <w:gridCol w:w="3744"/>
        <w:gridCol w:w="772"/>
        <w:gridCol w:w="1013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大类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小类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品目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档次名称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原有档次名称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基本配置和参数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中央财政补贴额（元）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肥箱容积0.3m³及以上固态肥抛撒机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肥箱容积300L及以上，或与乘坐式插秧机配套的撒（施）肥机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离心式，肥箱容积≥0.3m³；撒施颗粒肥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优化档次，需重新投档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肥箱容积0.5m³及以上固态肥抛撒机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肥箱容积500L及以上摆动式撒肥机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摆动式，肥箱容积≥0.5m³；撒施厩肥、农家肥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优化档次，需重新投档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12m以下悬挂及牵引式喷杆喷雾机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12m以下悬挂及牵引式喷杆喷雾机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喷杆长度＜12m；形式：悬挂及牵引式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12-18m悬挂及牵引式喷杆喷雾机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12-18m悬挂及牵引式喷杆喷雾机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12m≤喷杆长度＜18m；形式：悬挂及牵引式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18m及以上悬挂及牵引式喷杆喷雾机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18m及以上悬挂及牵引式喷杆喷雾机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喷杆长度≥18m；形式：悬挂及牵引式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18马力以下自走式喷杆喷雾机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18马力以下自走式喷杆喷雾机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18-50马力自走式喷杆喷雾机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18-50马力自走式喷杆喷雾机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50-100马力自走式喷杆喷雾机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50-100马力自走式喷杆喷雾机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17000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100马力及以上自走式喷杆喷雾机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100马力及以上自走式喷杆喷雾机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28300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0.7-1.2m捡拾压捆机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0.7-1.2m捡拾压捆机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0.7m≤捡拾宽度＜1.2m；其中，圆捆机压缩室直径≥550mm，压缩室宽度≥550mm；方捆机压缩室截面尺寸(宽度×高度）≥200×200mm，打结器数量≥1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7600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1.2-1.7m捡拾压捆机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1.2-1.7m捡拾压捆机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1.2m≤捡拾宽度＜1.7m；其中，圆捆机压缩室直径≥800mm，压缩室宽度≥800mm；方捆机压缩室截面尺寸(宽度×高度）≥300×300mm，打结器数量≥1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1.7-2.2m捡拾压捆机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1.7-2.2m捡拾压捆机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1.7m≤捡拾宽度＜2.2m；其中，圆捆机压缩室直径≥1200mm，压缩室宽度≥1200mm；方捆机压缩室截面尺寸(宽度×高度）≥400×300mm，打结器数量≥2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2.2m及以上捡拾压捆机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2.2m及以上捡拾压捆机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捡拾宽度≥2.2m；其中，圆捆机压缩室直径≥1200mm，压缩室宽度≥1200mm；方捆机压缩室截面尺寸(宽度×高度）≥400×300mm，打结器数量≥2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30500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150-220cm悬挂甩刀式青饲料收获机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150-160cm悬挂甩刀式青饲料收获机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悬挂甩刀(锤爪）式；150cm≤割幅＜220cm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更改品目，需重新投档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220cm及以上悬挂甩刀式青饲料收获机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160cm及以上悬挂甩刀式青饲料收获机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悬挂甩刀(锤爪）式；割幅≥220cm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更改品目，需重新投档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50-100m塞盘链式喂料机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刮链（索盘）式喂料机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50-100m塞盘链式送料机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50-100m索盘式送料机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100-200m塞盘链式送料机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100-200m索盘式送料机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200m及以上塞盘链式送料机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200m及以上索盘式送料机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清粪机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禽用刮板式清粪机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牵引刮板式清粪机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刮板宽度≥1200mm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优化档次，需重新投档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非自走式沼液沼渣抽排设备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带刀带磨碎盘沼液沼渣抽排设备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带刀带磨碎盘；电机；流量≥10m³/h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有效容积0.5-2m³降解式病死畜禽无害化处理设备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有效容积0.5-2m³病死畜禽处理设备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0.5m³≤有效容积＜2m³，配备尾气处理装置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9500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88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7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226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有效容积2m³及以上降解式病死畜禽无害化处理设备</w:t>
            </w:r>
          </w:p>
        </w:tc>
        <w:tc>
          <w:tcPr>
            <w:tcW w:w="255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有效容积2m³及以上病死畜禽处理设备</w:t>
            </w:r>
          </w:p>
        </w:tc>
        <w:tc>
          <w:tcPr>
            <w:tcW w:w="374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有效容积≥2m³，配备尾气处理装置</w:t>
            </w:r>
          </w:p>
        </w:tc>
        <w:tc>
          <w:tcPr>
            <w:tcW w:w="77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20000</w:t>
            </w:r>
          </w:p>
        </w:tc>
        <w:tc>
          <w:tcPr>
            <w:tcW w:w="101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优化档次，需重新投档</w:t>
            </w:r>
          </w:p>
        </w:tc>
      </w:tr>
    </w:tbl>
    <w:p>
      <w:pPr>
        <w:rPr>
          <w:rFonts w:ascii="仿宋_GB2312" w:hAnsi="仿宋_GB2312" w:cs="仿宋_GB2312"/>
        </w:rPr>
      </w:pPr>
    </w:p>
    <w:p/>
    <w:sectPr>
      <w:pgSz w:w="16838" w:h="11906" w:orient="landscape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297E"/>
    <w:rsid w:val="004537C6"/>
    <w:rsid w:val="004A4250"/>
    <w:rsid w:val="006338BE"/>
    <w:rsid w:val="0072131D"/>
    <w:rsid w:val="009015B1"/>
    <w:rsid w:val="00BF30B8"/>
    <w:rsid w:val="00CB28AB"/>
    <w:rsid w:val="00D612C0"/>
    <w:rsid w:val="00E6659A"/>
    <w:rsid w:val="01E5297E"/>
    <w:rsid w:val="021A70E6"/>
    <w:rsid w:val="04B95419"/>
    <w:rsid w:val="04D06438"/>
    <w:rsid w:val="04F57F1B"/>
    <w:rsid w:val="07450E2C"/>
    <w:rsid w:val="0A4F4A34"/>
    <w:rsid w:val="0DEF693E"/>
    <w:rsid w:val="11375BE0"/>
    <w:rsid w:val="11425020"/>
    <w:rsid w:val="121D6B27"/>
    <w:rsid w:val="16994D62"/>
    <w:rsid w:val="195D55F6"/>
    <w:rsid w:val="1B7630FD"/>
    <w:rsid w:val="1EF57940"/>
    <w:rsid w:val="1F7A74E8"/>
    <w:rsid w:val="219316BF"/>
    <w:rsid w:val="2CA30104"/>
    <w:rsid w:val="2DB40444"/>
    <w:rsid w:val="313C17AA"/>
    <w:rsid w:val="33CE020E"/>
    <w:rsid w:val="3607612E"/>
    <w:rsid w:val="364B3154"/>
    <w:rsid w:val="39A80352"/>
    <w:rsid w:val="3B88469A"/>
    <w:rsid w:val="4204778D"/>
    <w:rsid w:val="43A861E3"/>
    <w:rsid w:val="46A84F15"/>
    <w:rsid w:val="49E16FC7"/>
    <w:rsid w:val="4A4350E0"/>
    <w:rsid w:val="4D242296"/>
    <w:rsid w:val="4EB034CD"/>
    <w:rsid w:val="4F3D3976"/>
    <w:rsid w:val="59DE1CF9"/>
    <w:rsid w:val="60FD128B"/>
    <w:rsid w:val="6A2E79E8"/>
    <w:rsid w:val="6A546065"/>
    <w:rsid w:val="73FF10C0"/>
    <w:rsid w:val="76BB2E03"/>
    <w:rsid w:val="78B82AC8"/>
    <w:rsid w:val="79385108"/>
    <w:rsid w:val="798321C0"/>
    <w:rsid w:val="7F6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392</Words>
  <Characters>2236</Characters>
  <Lines>18</Lines>
  <Paragraphs>5</Paragraphs>
  <TotalTime>0</TotalTime>
  <ScaleCrop>false</ScaleCrop>
  <LinksUpToDate>false</LinksUpToDate>
  <CharactersWithSpaces>2623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2020-06-02T02:01:00Z</dcterms:created>
  <dc:creator>Yolanda</dc:creator>
  <cp:lastModifiedBy>Yolanda</cp:lastModifiedBy>
  <cp:lastPrinted>2020-06-01T23:48:00Z</cp:lastPrinted>
  <dcterms:modified xsi:type="dcterms:W3CDTF">2020-06-02T09:25:22Z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