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w w:val="98"/>
          <w:sz w:val="44"/>
          <w:szCs w:val="44"/>
        </w:rPr>
      </w:pPr>
      <w:r>
        <w:rPr>
          <w:rFonts w:hint="eastAsia" w:ascii="方正小标宋_GBK" w:eastAsia="方正小标宋_GBK"/>
          <w:w w:val="98"/>
          <w:sz w:val="44"/>
          <w:szCs w:val="44"/>
        </w:rPr>
        <w:t>重庆市农业机械化技术推广总站</w:t>
      </w:r>
    </w:p>
    <w:p>
      <w:pPr>
        <w:spacing w:line="600" w:lineRule="exact"/>
        <w:jc w:val="center"/>
        <w:rPr>
          <w:rFonts w:ascii="方正小标宋_GBK" w:eastAsia="方正小标宋_GBK"/>
          <w:w w:val="98"/>
          <w:sz w:val="44"/>
          <w:szCs w:val="44"/>
        </w:rPr>
      </w:pPr>
      <w:r>
        <w:rPr>
          <w:rFonts w:hint="eastAsia" w:ascii="方正小标宋_GBK" w:eastAsia="方正小标宋_GBK"/>
          <w:w w:val="98"/>
          <w:sz w:val="44"/>
          <w:szCs w:val="44"/>
        </w:rPr>
        <w:t>关于重庆市2020年补贴机具种类范围及分档定额调整的公示</w:t>
      </w:r>
    </w:p>
    <w:p>
      <w:pPr>
        <w:jc w:val="center"/>
        <w:rPr>
          <w:rFonts w:ascii="方正仿宋_GBK" w:eastAsia="方正仿宋_GBK"/>
          <w:w w:val="98"/>
          <w:sz w:val="32"/>
          <w:szCs w:val="32"/>
        </w:rPr>
      </w:pPr>
    </w:p>
    <w:p>
      <w:pPr>
        <w:ind w:firstLine="630"/>
        <w:jc w:val="left"/>
        <w:rPr>
          <w:rFonts w:hint="eastAsia" w:ascii="方正仿宋_GBK" w:eastAsia="方正仿宋_GBK"/>
          <w:w w:val="98"/>
          <w:sz w:val="32"/>
          <w:szCs w:val="32"/>
        </w:rPr>
      </w:pPr>
      <w:r>
        <w:rPr>
          <w:rFonts w:hint="eastAsia" w:ascii="方正仿宋_GBK" w:eastAsia="方正仿宋_GBK"/>
          <w:w w:val="98"/>
          <w:sz w:val="32"/>
          <w:szCs w:val="32"/>
        </w:rPr>
        <w:t>根据农业农村部 财政部《关于做好2020年农业生产发展等项目实施工作的通知》（农计财发〔2020〕3号），以及2020年“三夏”农机跨区作业暨农业机械化部署视频会议等精神，结合我市实际，拟将我市2020年补贴机具种类范围及分档定额调整情况公示如下：</w:t>
      </w:r>
    </w:p>
    <w:p>
      <w:pPr>
        <w:ind w:firstLine="630"/>
        <w:jc w:val="left"/>
        <w:rPr>
          <w:rFonts w:ascii="方正仿宋_GBK" w:eastAsia="方正仿宋_GBK"/>
          <w:sz w:val="32"/>
          <w:szCs w:val="32"/>
        </w:rPr>
      </w:pPr>
      <w:r>
        <w:rPr>
          <w:rFonts w:hint="eastAsia" w:ascii="方正楷体_GBK" w:eastAsia="方正楷体_GBK"/>
          <w:w w:val="98"/>
          <w:sz w:val="32"/>
          <w:szCs w:val="32"/>
        </w:rPr>
        <w:t>（一）拟增加农机购置补贴机具种类范围。新增</w:t>
      </w:r>
      <w:r>
        <w:rPr>
          <w:rFonts w:hint="eastAsia" w:ascii="方正仿宋_GBK" w:eastAsia="方正仿宋_GBK"/>
          <w:color w:val="FF0000"/>
          <w:sz w:val="32"/>
          <w:szCs w:val="32"/>
          <w:u w:val="single"/>
        </w:rPr>
        <w:t>茶叶色选机、茶叶输送机、茶叶压扁机、果树修剪机、食用菌料装瓶（袋）机、果园轨道运输机、秸秆收集机、沼气电池组、</w:t>
      </w:r>
      <w:r>
        <w:rPr>
          <w:rFonts w:ascii="方正仿宋_GBK" w:eastAsia="方正仿宋_GBK"/>
          <w:color w:val="FF0000"/>
          <w:sz w:val="32"/>
          <w:szCs w:val="32"/>
          <w:u w:val="single"/>
        </w:rPr>
        <w:t>筑埂机、风送喷雾机</w:t>
      </w:r>
      <w:r>
        <w:rPr>
          <w:rFonts w:hint="eastAsia" w:ascii="方正仿宋_GBK" w:eastAsia="方正仿宋_GBK"/>
          <w:sz w:val="32"/>
          <w:szCs w:val="32"/>
        </w:rPr>
        <w:t>等10个机具品目。其分档定额一览表（公示稿）（见附表1）。</w:t>
      </w:r>
    </w:p>
    <w:p>
      <w:pPr>
        <w:ind w:firstLine="630"/>
        <w:jc w:val="left"/>
        <w:rPr>
          <w:rFonts w:ascii="方正仿宋_GBK" w:eastAsia="方正仿宋_GBK"/>
          <w:sz w:val="32"/>
          <w:szCs w:val="32"/>
        </w:rPr>
      </w:pPr>
      <w:r>
        <w:rPr>
          <w:rFonts w:hint="eastAsia" w:ascii="方正楷体_GBK" w:eastAsia="方正楷体_GBK"/>
          <w:sz w:val="32"/>
          <w:szCs w:val="32"/>
        </w:rPr>
        <w:t>（二）拟对我市《2018-2020年农机购置补贴机具种类范围》中部分品目分档定额标准进一步优化。</w:t>
      </w:r>
    </w:p>
    <w:p>
      <w:pPr>
        <w:ind w:firstLine="630"/>
        <w:jc w:val="left"/>
        <w:rPr>
          <w:rFonts w:ascii="方正仿宋_GBK" w:eastAsia="方正仿宋_GBK"/>
          <w:sz w:val="32"/>
          <w:szCs w:val="32"/>
        </w:rPr>
      </w:pPr>
      <w:r>
        <w:rPr>
          <w:rFonts w:hint="eastAsia" w:ascii="方正仿宋_GBK" w:eastAsia="方正仿宋_GBK"/>
          <w:sz w:val="32"/>
          <w:szCs w:val="32"/>
        </w:rPr>
        <w:t>根据《农业农村部农业机械化管理司关于印发生猪生产和畜禽粪污资源化利用机具分档参数的函》（农机政</w:t>
      </w:r>
      <w:r>
        <w:rPr>
          <w:rFonts w:hint="eastAsia" w:ascii="宋体" w:hAnsi="宋体" w:eastAsia="宋体"/>
          <w:sz w:val="32"/>
          <w:szCs w:val="32"/>
        </w:rPr>
        <w:t>〔</w:t>
      </w:r>
      <w:r>
        <w:rPr>
          <w:rFonts w:hint="eastAsia" w:ascii="方正仿宋_GBK" w:eastAsia="方正仿宋_GBK"/>
          <w:sz w:val="32"/>
          <w:szCs w:val="32"/>
        </w:rPr>
        <w:t>2020</w:t>
      </w:r>
      <w:r>
        <w:rPr>
          <w:rFonts w:hint="eastAsia" w:ascii="宋体" w:hAnsi="宋体" w:eastAsia="宋体"/>
          <w:sz w:val="32"/>
          <w:szCs w:val="32"/>
        </w:rPr>
        <w:t>〕</w:t>
      </w:r>
      <w:r>
        <w:rPr>
          <w:rFonts w:hint="eastAsia" w:ascii="方正仿宋_GBK" w:eastAsia="方正仿宋_GBK"/>
          <w:sz w:val="32"/>
          <w:szCs w:val="32"/>
        </w:rPr>
        <w:t>5号）精神，结合我市政策实施实际，拟对</w:t>
      </w:r>
      <w:r>
        <w:rPr>
          <w:rFonts w:hint="eastAsia" w:ascii="方正仿宋_GBK" w:eastAsia="方正仿宋_GBK"/>
          <w:color w:val="FF0000"/>
          <w:sz w:val="32"/>
          <w:szCs w:val="32"/>
          <w:u w:val="single"/>
        </w:rPr>
        <w:t>喂（送）料机、清粪机、粪污固液分离机、沼渣沼液抽排设备、病死畜禽无害化处理设备、有机废弃物好氧发酵翻堆机、有机废弃物干式厌氧发酵装置、畜禽粪便发酵处理机、青饲料收获机、喷杆喷雾机、秧苗移栽机、施肥机、撒肥机、动力喷雾机、组合米机、饲料制备（搅拌）机、平地机（含激光平地机）、轮式拖拉机</w:t>
      </w:r>
      <w:r>
        <w:rPr>
          <w:rFonts w:hint="eastAsia" w:ascii="方正仿宋_GBK" w:eastAsia="方正仿宋_GBK"/>
          <w:sz w:val="32"/>
          <w:szCs w:val="32"/>
        </w:rPr>
        <w:t>等18个机具品目的分档定额标准进一步优化调整。相关调整分档定额一览表（公示稿）见附表2。</w:t>
      </w:r>
    </w:p>
    <w:p>
      <w:pPr>
        <w:jc w:val="left"/>
        <w:rPr>
          <w:rFonts w:hint="eastAsia" w:ascii="方正仿宋_GBK" w:eastAsia="方正仿宋_GBK"/>
          <w:sz w:val="32"/>
          <w:szCs w:val="32"/>
        </w:rPr>
      </w:pPr>
      <w:r>
        <w:rPr>
          <w:rFonts w:ascii="方正仿宋_GBK" w:eastAsia="方正仿宋_GBK"/>
          <w:sz w:val="32"/>
          <w:szCs w:val="32"/>
        </w:rPr>
        <w:t>附表</w:t>
      </w:r>
      <w:r>
        <w:rPr>
          <w:rFonts w:hint="eastAsia" w:ascii="方正仿宋_GBK" w:eastAsia="方正仿宋_GBK"/>
          <w:sz w:val="32"/>
          <w:szCs w:val="32"/>
        </w:rPr>
        <w:t>1：重庆市2020年补贴机具新增品目补贴额一览表（公示稿）</w:t>
      </w:r>
    </w:p>
    <w:p>
      <w:pPr>
        <w:spacing w:line="600" w:lineRule="exact"/>
        <w:jc w:val="center"/>
        <w:rPr>
          <w:rFonts w:ascii="方正黑体_GBK" w:eastAsia="方正黑体_GBK"/>
          <w:sz w:val="32"/>
          <w:szCs w:val="32"/>
        </w:rPr>
      </w:pPr>
      <w:r>
        <w:rPr>
          <w:rFonts w:hint="eastAsia" w:ascii="方正仿宋_GBK" w:eastAsia="方正仿宋_GBK"/>
          <w:sz w:val="32"/>
          <w:szCs w:val="32"/>
        </w:rPr>
        <w:t>附表2：重庆市2020年补贴机具原品目补贴额一览表调整（公示稿）</w:t>
      </w:r>
    </w:p>
    <w:p>
      <w:pPr>
        <w:jc w:val="left"/>
        <w:rPr>
          <w:rFonts w:ascii="方正仿宋_GBK" w:eastAsia="方正仿宋_GBK"/>
          <w:sz w:val="32"/>
          <w:szCs w:val="32"/>
        </w:rPr>
      </w:pPr>
    </w:p>
    <w:p>
      <w:pPr>
        <w:jc w:val="left"/>
        <w:rPr>
          <w:rFonts w:ascii="方正仿宋_GBK" w:eastAsia="方正仿宋_GBK"/>
          <w:sz w:val="32"/>
          <w:szCs w:val="32"/>
        </w:rPr>
      </w:pPr>
    </w:p>
    <w:p>
      <w:pPr>
        <w:ind w:firstLine="630"/>
        <w:jc w:val="left"/>
        <w:rPr>
          <w:rFonts w:ascii="方正仿宋_GBK" w:eastAsia="方正仿宋_GBK"/>
          <w:sz w:val="32"/>
          <w:szCs w:val="32"/>
        </w:rPr>
      </w:pPr>
      <w:r>
        <w:rPr>
          <w:rFonts w:hint="eastAsia" w:ascii="方正仿宋_GBK" w:eastAsia="方正仿宋_GBK"/>
          <w:sz w:val="32"/>
          <w:szCs w:val="32"/>
        </w:rPr>
        <w:t xml:space="preserve">                    重庆市</w:t>
      </w:r>
      <w:bookmarkStart w:id="0" w:name="_GoBack"/>
      <w:bookmarkEnd w:id="0"/>
      <w:r>
        <w:rPr>
          <w:rFonts w:hint="eastAsia" w:ascii="方正仿宋_GBK" w:eastAsia="方正仿宋_GBK"/>
          <w:sz w:val="32"/>
          <w:szCs w:val="32"/>
        </w:rPr>
        <w:t>农业机械化技术推广总站</w:t>
      </w:r>
    </w:p>
    <w:p>
      <w:pPr>
        <w:ind w:firstLine="630"/>
        <w:jc w:val="left"/>
        <w:rPr>
          <w:rFonts w:ascii="方正仿宋_GBK" w:eastAsia="方正仿宋_GBK"/>
          <w:sz w:val="32"/>
          <w:szCs w:val="32"/>
        </w:rPr>
      </w:pPr>
      <w:r>
        <w:rPr>
          <w:rFonts w:hint="eastAsia" w:ascii="方正仿宋_GBK" w:eastAsia="方正仿宋_GBK"/>
          <w:sz w:val="32"/>
          <w:szCs w:val="32"/>
        </w:rPr>
        <w:t xml:space="preserve">                            2020年5月29日</w:t>
      </w:r>
    </w:p>
    <w:p>
      <w:pPr>
        <w:sectPr>
          <w:footerReference r:id="rId3" w:type="default"/>
          <w:pgSz w:w="11906" w:h="16838"/>
          <w:pgMar w:top="1440" w:right="1474" w:bottom="1440" w:left="1474" w:header="851" w:footer="992" w:gutter="0"/>
          <w:cols w:space="425" w:num="1"/>
          <w:docGrid w:type="lines" w:linePitch="312" w:charSpace="0"/>
        </w:sectPr>
      </w:pPr>
    </w:p>
    <w:tbl>
      <w:tblPr>
        <w:tblStyle w:val="10"/>
        <w:tblW w:w="13538" w:type="dxa"/>
        <w:jc w:val="center"/>
        <w:tblLayout w:type="autofit"/>
        <w:tblCellMar>
          <w:top w:w="0" w:type="dxa"/>
          <w:left w:w="108" w:type="dxa"/>
          <w:bottom w:w="0" w:type="dxa"/>
          <w:right w:w="108" w:type="dxa"/>
        </w:tblCellMar>
      </w:tblPr>
      <w:tblGrid>
        <w:gridCol w:w="2221"/>
        <w:gridCol w:w="2962"/>
        <w:gridCol w:w="3840"/>
        <w:gridCol w:w="2085"/>
        <w:gridCol w:w="2430"/>
      </w:tblGrid>
      <w:tr>
        <w:tblPrEx>
          <w:tblCellMar>
            <w:top w:w="0" w:type="dxa"/>
            <w:left w:w="108" w:type="dxa"/>
            <w:bottom w:w="0" w:type="dxa"/>
            <w:right w:w="108" w:type="dxa"/>
          </w:tblCellMar>
        </w:tblPrEx>
        <w:trPr>
          <w:trHeight w:val="306" w:hRule="atLeast"/>
          <w:jc w:val="center"/>
        </w:trPr>
        <w:tc>
          <w:tcPr>
            <w:tcW w:w="13538" w:type="dxa"/>
            <w:gridSpan w:val="5"/>
            <w:tcBorders>
              <w:bottom w:val="single" w:color="auto" w:sz="4" w:space="0"/>
            </w:tcBorders>
            <w:shd w:val="clear" w:color="auto" w:fill="auto"/>
            <w:noWrap/>
            <w:vAlign w:val="bottom"/>
          </w:tcPr>
          <w:p>
            <w:pPr>
              <w:spacing w:line="600" w:lineRule="exact"/>
              <w:jc w:val="left"/>
              <w:rPr>
                <w:rFonts w:ascii="方正黑体_GBK" w:eastAsia="方正黑体_GBK"/>
                <w:sz w:val="32"/>
                <w:szCs w:val="32"/>
              </w:rPr>
            </w:pPr>
            <w:r>
              <w:rPr>
                <w:rFonts w:hint="eastAsia" w:ascii="方正黑体_GBK" w:eastAsia="方正黑体_GBK"/>
                <w:sz w:val="32"/>
                <w:szCs w:val="32"/>
              </w:rPr>
              <w:t>附表1</w:t>
            </w:r>
          </w:p>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重庆市2020年补贴机具新增品目补贴额一览表（公示稿） </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品目</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档次名称</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基本配置和参数</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中央财政最高补贴额(元)</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备注</w:t>
            </w:r>
          </w:p>
        </w:tc>
      </w:tr>
      <w:tr>
        <w:tblPrEx>
          <w:tblCellMar>
            <w:top w:w="0" w:type="dxa"/>
            <w:left w:w="108" w:type="dxa"/>
            <w:bottom w:w="0" w:type="dxa"/>
            <w:right w:w="108" w:type="dxa"/>
          </w:tblCellMar>
        </w:tblPrEx>
        <w:trPr>
          <w:trHeight w:val="24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沼气发电机组</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50—100kW沼气发电机组</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50kW≤功率＜100kW</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24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沼气发电机组</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100kW以上沼气发电机组</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功率≥100kW</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45000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茶叶筛选机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执行单元数60—128个的茶叶色选机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60≤执行单元数＜128个</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茶叶筛选机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执行单元数128个及以上的茶叶色选机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执行单元数≥128个</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24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茶叶压扁机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工作尺寸60cm以上茶叶压扁机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锅台尺寸60×60cm以上或压轴长度≥60cm</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1400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茶叶压扁机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工作尺寸60cm以上全自动数控压扁机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型式：全自动；锅台尺寸：60×60cm以上</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98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茶叶输送机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输送带宽度30-60cm茶叶提升输送机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30cm≤输送带宽度＜60cm；提升输送，有效输送距离≥2m；调速电机；输送带材质为符合食品卫生要求的不锈钢孔板或PVC、PU带</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1600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73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茶叶输送机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输送带宽度60cm及以上茶叶提升输送机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输送带宽度≥60cm；提升输送，有效输送距离≥4m；调速电机；输送带材质为符合食品卫生要求的不锈钢孔板或PVC、PU带</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1633"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茶叶输送机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输送带宽度30cm及以上茶叶水平输送机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输送带宽度≥30cm；水平输送，有效输送距离≥3m，按整米数计（只舍不入）；调速电机，功率≥100瓦；输送带材质为符合食品卫生要求的不锈钢孔板或PVC、PU带</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200元/米，补贴上限不超过2000元</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食用菌料装瓶（袋）机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生产率600袋/h以上自动装袋扎口一体机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微电脑自动控制装袋,套袋区光电感应安全保护装置,全自动扎口；生产率≥600袋/h</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9800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食用菌料装瓶（袋）机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生产率700袋/h以上自动装袋机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微电脑自动控制装袋,套袋区光电感应安全保护装置；生产率≥700袋/h</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24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秸秆收集机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1.5—2m秸秆收集机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1.5m≤作业幅宽&lt;2m</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3900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245"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秸秆收集机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2m及以上秸秆收集机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作业幅宽≥2m</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筑埂机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筑埂机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与拖拉机配套的筑埂机；筑埂高度≥25cm；配套动力≥36.7kW</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4500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风送喷雾机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自走式风送喷雾机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四轮驱动自走式或履带自走式，行走功率≥6马力，药箱容积≥100L，喷幅≥10m，</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3600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风送喷雾机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悬挂、牵引式风送喷雾机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悬挂或牵引式，药箱容积≥350L，喷幅半径≥6m</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1700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果树修剪机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手持一体式电动果树修剪机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锂电池，2AH≤电池容量≤4AH；含充电器、锂电池不得少于2组；剪切直径≥25mm；手持一体式。</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果树修剪机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电动果树修剪机，2AH≤锂电池容量≤4AH</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锂电池，2AH≤电池容量≤4AH；含背负装置、充电器、锂电池不得少于2组；剪切直径≥25mm；不含手持一体式。</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果树修剪机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电动果树修剪机，锂电池容量＞4AH</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锂电池容量＞4AH；含背负装置、充电器、锂电池不得少于2组；剪切直径≥40mm；不含手持一体式。</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800</w:t>
            </w:r>
          </w:p>
        </w:tc>
        <w:tc>
          <w:tcPr>
            <w:tcW w:w="24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新增品目</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果园轨道运输机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山地轨道运输机主机</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运输机主机1台（由动力和货物载运装置组成）；45°倾角时额定载重能力≥200Kg，有手动和紧急制动装置，制动距离≤1m。动力为电机时，电池不少于2组</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8000</w:t>
            </w:r>
          </w:p>
        </w:tc>
        <w:tc>
          <w:tcPr>
            <w:tcW w:w="243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山地轨道运输机主机应与轨道配套安装且待通过验收后方可申报补贴。单台套总补贴额上限5万元。</w:t>
            </w:r>
          </w:p>
        </w:tc>
      </w:tr>
      <w:tr>
        <w:tblPrEx>
          <w:tblCellMar>
            <w:top w:w="0" w:type="dxa"/>
            <w:left w:w="108" w:type="dxa"/>
            <w:bottom w:w="0" w:type="dxa"/>
            <w:right w:w="108" w:type="dxa"/>
          </w:tblCellMar>
        </w:tblPrEx>
        <w:trPr>
          <w:trHeight w:val="490" w:hRule="atLeast"/>
          <w:jc w:val="center"/>
        </w:trPr>
        <w:tc>
          <w:tcPr>
            <w:tcW w:w="2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果园轨道运输机</w:t>
            </w:r>
          </w:p>
        </w:tc>
        <w:tc>
          <w:tcPr>
            <w:tcW w:w="296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山地轨道运输机轨道</w:t>
            </w:r>
          </w:p>
        </w:tc>
        <w:tc>
          <w:tcPr>
            <w:tcW w:w="38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轨道采用啮合式或滚动式行进；长度≥100米，按轨道长度计算；含安装轨道所需材料</w:t>
            </w:r>
          </w:p>
        </w:tc>
        <w:tc>
          <w:tcPr>
            <w:tcW w:w="208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60元/米</w:t>
            </w:r>
          </w:p>
        </w:tc>
        <w:tc>
          <w:tcPr>
            <w:tcW w:w="243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方正仿宋_GBK" w:hAnsi="宋体" w:eastAsia="方正仿宋_GBK" w:cs="宋体"/>
                <w:color w:val="000000"/>
                <w:kern w:val="0"/>
                <w:sz w:val="22"/>
              </w:rPr>
            </w:pPr>
          </w:p>
        </w:tc>
      </w:tr>
    </w:tbl>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ascii="方正黑体_GBK" w:eastAsia="方正黑体_GBK"/>
          <w:sz w:val="32"/>
          <w:szCs w:val="32"/>
        </w:rPr>
      </w:pPr>
    </w:p>
    <w:p>
      <w:pPr>
        <w:spacing w:line="600" w:lineRule="exact"/>
        <w:jc w:val="left"/>
        <w:rPr>
          <w:rFonts w:hint="eastAsia" w:ascii="方正黑体_GBK" w:eastAsia="方正黑体_GBK"/>
          <w:sz w:val="32"/>
          <w:szCs w:val="32"/>
        </w:rPr>
      </w:pPr>
    </w:p>
    <w:p>
      <w:pPr>
        <w:spacing w:line="600" w:lineRule="exact"/>
        <w:jc w:val="left"/>
        <w:rPr>
          <w:rFonts w:hint="eastAsia" w:ascii="方正黑体_GBK" w:eastAsia="方正黑体_GBK"/>
          <w:sz w:val="32"/>
          <w:szCs w:val="32"/>
        </w:rPr>
      </w:pPr>
      <w:r>
        <w:rPr>
          <w:rFonts w:hint="eastAsia" w:ascii="方正黑体_GBK" w:eastAsia="方正黑体_GBK"/>
          <w:sz w:val="32"/>
          <w:szCs w:val="32"/>
        </w:rPr>
        <w:t>附表2</w:t>
      </w:r>
    </w:p>
    <w:p>
      <w:pPr>
        <w:spacing w:line="600" w:lineRule="exact"/>
        <w:jc w:val="center"/>
        <w:rPr>
          <w:rFonts w:ascii="方正黑体_GBK" w:eastAsia="方正黑体_GBK"/>
          <w:sz w:val="32"/>
          <w:szCs w:val="32"/>
        </w:rPr>
      </w:pPr>
      <w:r>
        <w:rPr>
          <w:rFonts w:hint="eastAsia" w:ascii="宋体" w:hAnsi="宋体" w:eastAsia="宋体" w:cs="宋体"/>
          <w:b/>
          <w:bCs/>
          <w:color w:val="000000"/>
          <w:kern w:val="0"/>
          <w:sz w:val="28"/>
          <w:szCs w:val="28"/>
        </w:rPr>
        <w:t>重庆市2020年补贴机具原品目补贴额一览表调整（公示稿）</w:t>
      </w:r>
    </w:p>
    <w:tbl>
      <w:tblPr>
        <w:tblStyle w:val="10"/>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2"/>
        <w:gridCol w:w="2895"/>
        <w:gridCol w:w="4961"/>
        <w:gridCol w:w="1284"/>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372" w:type="dxa"/>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品目</w:t>
            </w:r>
          </w:p>
        </w:tc>
        <w:tc>
          <w:tcPr>
            <w:tcW w:w="2895" w:type="dxa"/>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档次名称</w:t>
            </w:r>
          </w:p>
        </w:tc>
        <w:tc>
          <w:tcPr>
            <w:tcW w:w="4961" w:type="dxa"/>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基本配置和参数</w:t>
            </w:r>
          </w:p>
        </w:tc>
        <w:tc>
          <w:tcPr>
            <w:tcW w:w="1284" w:type="dxa"/>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中央财政最高补贴额(元)</w:t>
            </w:r>
          </w:p>
        </w:tc>
        <w:tc>
          <w:tcPr>
            <w:tcW w:w="2593" w:type="dxa"/>
            <w:shd w:val="clear" w:color="auto" w:fill="auto"/>
            <w:vAlign w:val="center"/>
          </w:tcPr>
          <w:p>
            <w:pPr>
              <w:widowControl/>
              <w:spacing w:line="0" w:lineRule="atLeast"/>
              <w:jc w:val="center"/>
              <w:rPr>
                <w:rFonts w:cs="宋体" w:asciiTheme="majorEastAsia" w:hAnsiTheme="majorEastAsia" w:eastAsiaTheme="majorEastAsia"/>
                <w:b/>
                <w:color w:val="000000"/>
                <w:kern w:val="0"/>
                <w:sz w:val="22"/>
              </w:rPr>
            </w:pPr>
            <w:r>
              <w:rPr>
                <w:rFonts w:hint="eastAsia" w:cs="宋体" w:asciiTheme="majorEastAsia" w:hAnsiTheme="majorEastAsia" w:eastAsiaTheme="majorEastAsia"/>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秧苗移栽机</w:t>
            </w:r>
          </w:p>
        </w:tc>
        <w:tc>
          <w:tcPr>
            <w:tcW w:w="2895"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1-3行自走式或2行及以上牵引式、悬挂式秧苗移栽机</w:t>
            </w:r>
          </w:p>
        </w:tc>
        <w:tc>
          <w:tcPr>
            <w:tcW w:w="4961"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1-3行自走式；或2行及以上牵引式、悬挂式</w:t>
            </w:r>
          </w:p>
        </w:tc>
        <w:tc>
          <w:tcPr>
            <w:tcW w:w="1284"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5000</w:t>
            </w:r>
          </w:p>
        </w:tc>
        <w:tc>
          <w:tcPr>
            <w:tcW w:w="2593"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秧苗移栽机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4行及以上自走式秧苗移栽机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形式：自走式；行数≥4行</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9000</w:t>
            </w:r>
          </w:p>
        </w:tc>
        <w:tc>
          <w:tcPr>
            <w:tcW w:w="2593" w:type="dxa"/>
            <w:shd w:val="clear" w:color="000000" w:fill="FFFFFF"/>
            <w:noWrap/>
            <w:vAlign w:val="center"/>
          </w:tcPr>
          <w:p>
            <w:pPr>
              <w:widowControl/>
              <w:spacing w:line="0" w:lineRule="atLeast"/>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秧苗移栽机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6—7行四轮乘坐式水稻钵苗移栽机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四轮乘坐式水稻钵苗移栽机；6、7行</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28000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施肥机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4行及以上水稻侧深施肥装置</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4行及以上水稻插秧机或水稻直播机配套,在栽播同时同步侧向深施肥料,配置强制施肥装置、定位深施装置、漏施报警装置、栽播与施肥同步控制装置、施肥量调节装置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5400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完善档次名称、优化参数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2"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动力喷雾机</w:t>
            </w:r>
          </w:p>
        </w:tc>
        <w:tc>
          <w:tcPr>
            <w:tcW w:w="2895"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背负式动力喷雾机</w:t>
            </w:r>
          </w:p>
        </w:tc>
        <w:tc>
          <w:tcPr>
            <w:tcW w:w="4961"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动力：汽油机，功率≥0.55kW，背负式，</w:t>
            </w:r>
          </w:p>
        </w:tc>
        <w:tc>
          <w:tcPr>
            <w:tcW w:w="1284"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w:t>
            </w:r>
          </w:p>
        </w:tc>
        <w:tc>
          <w:tcPr>
            <w:tcW w:w="2593"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动力喷雾机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电动式动力喷雾机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动力：电机，功率≥1.1kW，担架式或推车式动力喷雾机</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动力喷雾机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担架式或推车式动力喷雾机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动力：汽油机，功率≥2kW；担架式或推车式动力喷雾机</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330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完善档次名称、优化参数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动力喷雾机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手扶式动力喷雾机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自带动力，发动机功率≥3kW；具有自行走功能且非微耕机改装而来实现自行走功能；带药箱</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1700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完善档次名称、优化参数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2" w:type="dxa"/>
            <w:shd w:val="clear" w:color="000000" w:fill="E46D0A"/>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碾米机</w:t>
            </w:r>
          </w:p>
        </w:tc>
        <w:tc>
          <w:tcPr>
            <w:tcW w:w="2895" w:type="dxa"/>
            <w:shd w:val="clear" w:color="000000" w:fill="E46D0A"/>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2.2-7.5kw碾米机</w:t>
            </w:r>
          </w:p>
        </w:tc>
        <w:tc>
          <w:tcPr>
            <w:tcW w:w="4961" w:type="dxa"/>
            <w:shd w:val="clear" w:color="000000" w:fill="E46D0A"/>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砻碾功能，动力：电机；2.2kw≤功率＜7.5kw。</w:t>
            </w:r>
          </w:p>
        </w:tc>
        <w:tc>
          <w:tcPr>
            <w:tcW w:w="1284" w:type="dxa"/>
            <w:shd w:val="clear" w:color="000000" w:fill="E46D0A"/>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700</w:t>
            </w:r>
          </w:p>
        </w:tc>
        <w:tc>
          <w:tcPr>
            <w:tcW w:w="2593" w:type="dxa"/>
            <w:shd w:val="clear" w:color="000000" w:fill="E46D0A"/>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删除品目、档次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组合米机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2.2-7.5kw碾米机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砻碾功能，动力：电机；2.2kw≤功率＜7.5kw。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700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修改品目名称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组合米机</w:t>
            </w:r>
          </w:p>
        </w:tc>
        <w:tc>
          <w:tcPr>
            <w:tcW w:w="2895"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7.5kW及以上组合米机</w:t>
            </w:r>
          </w:p>
        </w:tc>
        <w:tc>
          <w:tcPr>
            <w:tcW w:w="4961"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动力：电机；功率≥7.5kW；具备剥壳、清选、碾米、抛光功能</w:t>
            </w:r>
          </w:p>
        </w:tc>
        <w:tc>
          <w:tcPr>
            <w:tcW w:w="1284"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6000</w:t>
            </w:r>
          </w:p>
        </w:tc>
        <w:tc>
          <w:tcPr>
            <w:tcW w:w="2593" w:type="dxa"/>
            <w:shd w:val="clear" w:color="000000" w:fill="D8D8D8"/>
            <w:vAlign w:val="center"/>
          </w:tcPr>
          <w:p>
            <w:pPr>
              <w:widowControl/>
              <w:spacing w:line="0" w:lineRule="atLeast"/>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饲料制备（搅拌）机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4—9m</w:t>
            </w:r>
            <w:r>
              <w:rPr>
                <w:rFonts w:hint="eastAsia" w:ascii="方正仿宋_GBK" w:hAnsi="宋体" w:eastAsia="方正仿宋_GBK" w:cs="宋体"/>
                <w:color w:val="000000"/>
                <w:kern w:val="0"/>
                <w:sz w:val="22"/>
                <w:vertAlign w:val="superscript"/>
              </w:rPr>
              <w:t>3</w:t>
            </w:r>
            <w:r>
              <w:rPr>
                <w:rFonts w:hint="eastAsia" w:ascii="方正仿宋_GBK" w:hAnsi="宋体" w:eastAsia="方正仿宋_GBK" w:cs="宋体"/>
                <w:color w:val="000000"/>
                <w:kern w:val="0"/>
                <w:sz w:val="22"/>
              </w:rPr>
              <w:t>饲料全混合日粮制备机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4m</w:t>
            </w:r>
            <w:r>
              <w:rPr>
                <w:rFonts w:hint="eastAsia" w:ascii="方正仿宋_GBK" w:hAnsi="宋体" w:eastAsia="方正仿宋_GBK" w:cs="宋体"/>
                <w:color w:val="000000"/>
                <w:kern w:val="0"/>
                <w:sz w:val="22"/>
                <w:vertAlign w:val="superscript"/>
              </w:rPr>
              <w:t>3</w:t>
            </w:r>
            <w:r>
              <w:rPr>
                <w:rFonts w:hint="eastAsia" w:ascii="方正仿宋_GBK" w:hAnsi="宋体" w:eastAsia="方正仿宋_GBK" w:cs="宋体"/>
                <w:color w:val="000000"/>
                <w:kern w:val="0"/>
                <w:sz w:val="22"/>
              </w:rPr>
              <w:t>≤搅拌室容积＜9m</w:t>
            </w:r>
            <w:r>
              <w:rPr>
                <w:rFonts w:hint="eastAsia" w:ascii="方正仿宋_GBK" w:hAnsi="宋体" w:eastAsia="方正仿宋_GBK" w:cs="宋体"/>
                <w:color w:val="000000"/>
                <w:kern w:val="0"/>
                <w:sz w:val="22"/>
                <w:vertAlign w:val="superscript"/>
              </w:rPr>
              <w:t>3</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饲料制备（搅拌）机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9—12m</w:t>
            </w:r>
            <w:r>
              <w:rPr>
                <w:rFonts w:hint="eastAsia" w:ascii="方正仿宋_GBK" w:hAnsi="宋体" w:eastAsia="方正仿宋_GBK" w:cs="宋体"/>
                <w:color w:val="000000"/>
                <w:kern w:val="0"/>
                <w:sz w:val="22"/>
                <w:vertAlign w:val="superscript"/>
              </w:rPr>
              <w:t>3</w:t>
            </w:r>
            <w:r>
              <w:rPr>
                <w:rFonts w:hint="eastAsia" w:ascii="方正仿宋_GBK" w:hAnsi="宋体" w:eastAsia="方正仿宋_GBK" w:cs="宋体"/>
                <w:color w:val="000000"/>
                <w:kern w:val="0"/>
                <w:sz w:val="22"/>
              </w:rPr>
              <w:t>饲料全混合日粮制备机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9m</w:t>
            </w:r>
            <w:r>
              <w:rPr>
                <w:rFonts w:hint="eastAsia" w:ascii="方正仿宋_GBK" w:hAnsi="宋体" w:eastAsia="方正仿宋_GBK" w:cs="宋体"/>
                <w:color w:val="000000"/>
                <w:kern w:val="0"/>
                <w:sz w:val="22"/>
                <w:vertAlign w:val="superscript"/>
              </w:rPr>
              <w:t>3</w:t>
            </w:r>
            <w:r>
              <w:rPr>
                <w:rFonts w:hint="eastAsia" w:ascii="方正仿宋_GBK" w:hAnsi="宋体" w:eastAsia="方正仿宋_GBK" w:cs="宋体"/>
                <w:color w:val="000000"/>
                <w:kern w:val="0"/>
                <w:sz w:val="22"/>
              </w:rPr>
              <w:t>≤搅拌室容积＜12m</w:t>
            </w:r>
            <w:r>
              <w:rPr>
                <w:rFonts w:hint="eastAsia" w:ascii="方正仿宋_GBK" w:hAnsi="宋体" w:eastAsia="方正仿宋_GBK" w:cs="宋体"/>
                <w:color w:val="000000"/>
                <w:kern w:val="0"/>
                <w:sz w:val="22"/>
                <w:vertAlign w:val="superscript"/>
              </w:rPr>
              <w:t>3</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饲料制备（搅拌）机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12m</w:t>
            </w:r>
            <w:r>
              <w:rPr>
                <w:rFonts w:hint="eastAsia" w:ascii="方正仿宋_GBK" w:hAnsi="宋体" w:eastAsia="方正仿宋_GBK" w:cs="宋体"/>
                <w:color w:val="000000"/>
                <w:kern w:val="0"/>
                <w:sz w:val="22"/>
                <w:vertAlign w:val="superscript"/>
              </w:rPr>
              <w:t>3</w:t>
            </w:r>
            <w:r>
              <w:rPr>
                <w:rFonts w:hint="eastAsia" w:ascii="方正仿宋_GBK" w:hAnsi="宋体" w:eastAsia="方正仿宋_GBK" w:cs="宋体"/>
                <w:color w:val="000000"/>
                <w:kern w:val="0"/>
                <w:sz w:val="22"/>
              </w:rPr>
              <w:t>及以上饲料全混合日粮制备机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搅拌室容积≥12m</w:t>
            </w:r>
            <w:r>
              <w:rPr>
                <w:rFonts w:hint="eastAsia" w:ascii="方正仿宋_GBK" w:hAnsi="宋体" w:eastAsia="方正仿宋_GBK" w:cs="宋体"/>
                <w:color w:val="000000"/>
                <w:kern w:val="0"/>
                <w:sz w:val="22"/>
                <w:vertAlign w:val="superscript"/>
              </w:rPr>
              <w:t>3</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有机废弃物干式厌氧发酵装置</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3m</w:t>
            </w:r>
            <w:r>
              <w:rPr>
                <w:rFonts w:hint="eastAsia" w:ascii="宋体" w:hAnsi="宋体" w:eastAsia="宋体" w:cs="宋体"/>
                <w:color w:val="000000"/>
                <w:kern w:val="0"/>
                <w:sz w:val="22"/>
              </w:rPr>
              <w:t>³</w:t>
            </w:r>
            <w:r>
              <w:rPr>
                <w:rFonts w:hint="eastAsia" w:ascii="方正仿宋_GBK" w:hAnsi="方正仿宋_GBK" w:eastAsia="方正仿宋_GBK" w:cs="方正仿宋_GBK"/>
                <w:color w:val="000000"/>
                <w:kern w:val="0"/>
                <w:sz w:val="22"/>
              </w:rPr>
              <w:t>≤有效容积＜</w:t>
            </w:r>
            <w:r>
              <w:rPr>
                <w:rFonts w:hint="eastAsia" w:ascii="方正仿宋_GBK" w:hAnsi="宋体" w:eastAsia="方正仿宋_GBK" w:cs="宋体"/>
                <w:color w:val="000000"/>
                <w:kern w:val="0"/>
                <w:sz w:val="22"/>
              </w:rPr>
              <w:t>8m</w:t>
            </w:r>
            <w:r>
              <w:rPr>
                <w:rFonts w:hint="eastAsia" w:ascii="宋体" w:hAnsi="宋体" w:eastAsia="宋体" w:cs="宋体"/>
                <w:color w:val="000000"/>
                <w:kern w:val="0"/>
                <w:sz w:val="22"/>
              </w:rPr>
              <w:t>³</w:t>
            </w:r>
            <w:r>
              <w:rPr>
                <w:rFonts w:hint="eastAsia" w:ascii="方正仿宋_GBK" w:hAnsi="宋体" w:eastAsia="方正仿宋_GBK" w:cs="宋体"/>
                <w:color w:val="000000"/>
                <w:kern w:val="0"/>
                <w:sz w:val="22"/>
              </w:rPr>
              <w:t>有机废弃物干式厌氧发酵装置</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3m</w:t>
            </w:r>
            <w:r>
              <w:rPr>
                <w:rFonts w:hint="eastAsia" w:ascii="宋体" w:hAnsi="宋体" w:eastAsia="宋体" w:cs="宋体"/>
                <w:color w:val="000000"/>
                <w:kern w:val="0"/>
                <w:sz w:val="22"/>
              </w:rPr>
              <w:t>³</w:t>
            </w:r>
            <w:r>
              <w:rPr>
                <w:rFonts w:hint="eastAsia" w:ascii="方正仿宋_GBK" w:hAnsi="方正仿宋_GBK" w:eastAsia="方正仿宋_GBK" w:cs="方正仿宋_GBK"/>
                <w:color w:val="000000"/>
                <w:kern w:val="0"/>
                <w:sz w:val="22"/>
              </w:rPr>
              <w:t>≤发酵罐有效容积＜</w:t>
            </w:r>
            <w:r>
              <w:rPr>
                <w:rFonts w:hint="eastAsia" w:ascii="方正仿宋_GBK" w:hAnsi="宋体" w:eastAsia="方正仿宋_GBK" w:cs="宋体"/>
                <w:color w:val="000000"/>
                <w:kern w:val="0"/>
                <w:sz w:val="22"/>
              </w:rPr>
              <w:t>8m</w:t>
            </w:r>
            <w:r>
              <w:rPr>
                <w:rFonts w:hint="eastAsia" w:ascii="宋体" w:hAnsi="宋体" w:eastAsia="宋体" w:cs="宋体"/>
                <w:color w:val="000000"/>
                <w:kern w:val="0"/>
                <w:sz w:val="22"/>
              </w:rPr>
              <w:t>³</w:t>
            </w:r>
            <w:r>
              <w:rPr>
                <w:rFonts w:hint="eastAsia" w:ascii="方正仿宋_GBK" w:hAnsi="方正仿宋_GBK" w:eastAsia="方正仿宋_GBK" w:cs="方正仿宋_GBK"/>
                <w:color w:val="000000"/>
                <w:kern w:val="0"/>
                <w:sz w:val="22"/>
              </w:rPr>
              <w:t>；形式：罐式；配加热装置、搅拌装置、进料和出料设备</w:t>
            </w:r>
            <w:r>
              <w:rPr>
                <w:rFonts w:hint="eastAsia" w:ascii="方正仿宋_GBK" w:hAnsi="宋体" w:eastAsia="方正仿宋_GBK" w:cs="宋体"/>
                <w:color w:val="000000"/>
                <w:kern w:val="0"/>
                <w:sz w:val="22"/>
              </w:rPr>
              <w:t>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完善档次名称、优化参数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有机废弃物干式厌氧发酵装置</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有效容积≥8m</w:t>
            </w:r>
            <w:r>
              <w:rPr>
                <w:rFonts w:hint="eastAsia" w:ascii="宋体" w:hAnsi="宋体" w:eastAsia="宋体" w:cs="宋体"/>
                <w:color w:val="000000"/>
                <w:kern w:val="0"/>
                <w:sz w:val="22"/>
              </w:rPr>
              <w:t>³</w:t>
            </w:r>
            <w:r>
              <w:rPr>
                <w:rFonts w:hint="eastAsia" w:ascii="方正仿宋_GBK" w:hAnsi="宋体" w:eastAsia="方正仿宋_GBK" w:cs="宋体"/>
                <w:color w:val="000000"/>
                <w:kern w:val="0"/>
                <w:sz w:val="22"/>
              </w:rPr>
              <w:t>有机废弃物干式厌氧发酵装置</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发酵箱罐有效容积≥8m</w:t>
            </w:r>
            <w:r>
              <w:rPr>
                <w:rFonts w:hint="eastAsia" w:ascii="宋体" w:hAnsi="宋体" w:eastAsia="宋体" w:cs="宋体"/>
                <w:color w:val="000000"/>
                <w:kern w:val="0"/>
                <w:sz w:val="22"/>
              </w:rPr>
              <w:t>³</w:t>
            </w:r>
            <w:r>
              <w:rPr>
                <w:rFonts w:hint="eastAsia" w:ascii="方正仿宋_GBK" w:hAnsi="方正仿宋_GBK" w:eastAsia="方正仿宋_GBK" w:cs="方正仿宋_GBK"/>
                <w:color w:val="000000"/>
                <w:kern w:val="0"/>
                <w:sz w:val="22"/>
              </w:rPr>
              <w:t>；形式：罐式；配加热装置、搅拌装置、进料和出料设备</w:t>
            </w:r>
            <w:r>
              <w:rPr>
                <w:rFonts w:hint="eastAsia" w:ascii="方正仿宋_GBK" w:hAnsi="宋体" w:eastAsia="方正仿宋_GBK" w:cs="宋体"/>
                <w:color w:val="000000"/>
                <w:kern w:val="0"/>
                <w:sz w:val="22"/>
              </w:rPr>
              <w:t>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完善档次名称、优化参数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平地机（含激光平地机）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幅宽2—3m激光平地机（激光控制）</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2m≤幅宽＜3m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下调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平地机（含激光平地机）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幅宽3m及以上激光平地机（激光控制）</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幅宽≥3m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下调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平地机（含激光平地机）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幅宽2—3m激光平地机（卫星控制）</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2m≤幅宽＜3m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平地机（含激光平地机）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幅宽3m及以上激光平地机（卫星控制）</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幅宽≥3m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新增分档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80—90马力四轮驱动拖拉机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80马力≤功率＜90马力；驱动方式：四轮驱动；最小使用比质量≥35kg/kW</w:t>
            </w:r>
          </w:p>
        </w:tc>
        <w:tc>
          <w:tcPr>
            <w:tcW w:w="1284" w:type="dxa"/>
            <w:shd w:val="clear" w:color="000000" w:fill="FFFFFF"/>
            <w:noWrap/>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29200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90—100马力四轮驱动拖拉机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90马力≤功率＜100马力；驱动方式：四轮驱动；最小使用比质量≥35kg/kW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33000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优化参数、下调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100—120马力四轮驱动拖拉机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100马力≤功率＜120马力；驱动方式：四轮驱动；最小使用比质量≥35kg/kW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33800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120—140马力四轮驱动拖拉机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120马力≤功率＜140马力；驱动方式：四轮驱动；最小使用比质量≥37kg/kW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44510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140—160马力四轮驱动拖拉机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140马力≤功率＜160马力；驱动方式：四轮驱动；最小使用比质量≥37kg/kW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54120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轮式拖拉机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160马力及以上四轮驱动拖拉机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功率≥160马力；驱动方式：四轮驱动；最小使用比质量≥37kg/kW</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行车式喂料机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料斗行程距离≥60m；喂料机层数≥3；电机功率≥0.75kW；含料箱、输送装置、行走或牵引装置、控制系统</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料管长度60—160m螺旋弹簧式喂料机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60m≤料管长度＜160m；料管外径≥40mm；食盘个数≥60个；含电机、料箱、驱动装置、控制装置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料管长度160m及以上螺旋弹簧式喂料机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料管长度≥160m；料管外径≥40mm；食盘个数≥160个；含电机、料箱、驱动装置、控制装置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料管长度50—100m塞盘链式喂料机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50m≤料管长度＜100m；塞盘直径≥40mm；含电机、料箱、驱动装置、控制装置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4300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料管长度100—200m塞盘链式喂料机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100m≤料管长度＜200m；塞盘直径≥40mm；含电机、料箱、驱动装置、控制装置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料管长度200m及以上塞盘链式喂料机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料管长度≥200m；塞盘直径≥40mm；含电机、料箱、驱动装置、控制装置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输送带有效长度20—50m输送带式喂料机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20m≤输送带有效长度＜50m；含电机、驱动滚筒</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喂料机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输送带有效长度50m及以上输送带式喂料机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输送带有效长度≥50m；含电机、驱动滚筒</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料管长度60—160m螺旋弹簧式送料机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60m≤料管长度＜160m；料管外径≥40mm；食盘个数≥60个；含电机、料箱、驱动装置、控制装置等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料管长度160m及以上螺旋弹簧式送料机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料管长度≥160m；料管外径≥40mm；食盘个数≥160个；含电机、料箱、驱动装置、控制装置等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料管长度50—100m塞盘链式送料机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50m≤料管长度＜100m；塞盘直径≥40mm；含电机、料箱、驱动装置、控制装置等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4300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料管长度100—200m塞盘链式送料机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100m≤料管长度＜200m；塞盘直径≥40mm；含电机、料箱、驱动装置、控制装置等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料管长度200m及以上塞盘链式送料机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料管长度≥200m；塞盘直径≥40mm；含电机、料箱、驱动装置、控制装置等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输送带有效长度20-50m输送带式送料机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20m≤输送带有效长度＜50m；含电机、驱动滚筒等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送料机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输送带有效长度50m及以上输送带式送料机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输送带有效长度≥50m；含电机、驱动滚筒等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清粪机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畜用刮板式清粪机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刮板宽度≥1.5m，刮板为不锈钢材质，含电机、钢丝绳或导轨、刮板等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5700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清粪机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禽用刮板式清粪机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刮板宽度≥1200mm；含电机</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清粪机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输送带面积300－500m2输送带式清粪机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300m2≤输送带面积＜500m2；清粪带层数≥3层；含电机</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清粪机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输送带面积500m2及以上输送带式清粪机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输送带面积≥500m2；清粪带层数≥3层；含电机</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粪污固液分离机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0.25m2≤圆筒筛面积＜0.5m2圆筒筛粪污固液分离机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0.25m2≤圆筒筛面积＜0.5m2；结构形式：螺旋挤压式</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粪污固液分离机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圆筒筛面积≥0.5m2圆筒筛粪污固液分离机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圆筒筛面积≥0.5m2；结构形式：螺旋挤压式</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粪污固液分离机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0.5m2≤单片斜筛面积≤0.8m2粪污固液分离机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0.5m2≤单片斜筛面积≤0.8m2；结构形式：筛分+螺旋挤压式</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粪污固液分离机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其它粪污固液分离机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电机总功率≥4kW；污水处理量≥6m3/h</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沼液沼渣抽排设备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非自走式沼液沼渣抽排设备</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带刀带磨碎盘；电机；流量≥10m³/h</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沼液沼渣抽排设备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自走式沼液沼渣抽排设备</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罐体容积＜1m³；不锈钢罐体</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沼液沼渣抽排设备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自走式沼液沼渣抽排设备</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罐体容积≥1m³；不锈钢罐体</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700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病死畜禽无害化处理设备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0.5m³≤有效容积＜2m³降解机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0.5m³≤有效容积＜2m³；含破碎、高温灭菌干化、尾气处理等装置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病死畜禽无害化处理设备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有效容积≥2m³降解机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有效容积≥2m³；含破碎、高温灭菌干化、尾气处理等装置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病死畜禽无害化处理设备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0.5m³≤有效容积＜2m³化制机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0.5m³≤有效容积＜2m³；含高温灭菌、尾气处理等装置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13000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病死畜禽无害化处理设备</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有效容积≥2m³化制机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有效容积≥2m³；含高温灭菌、尾气处理等装置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27000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有机废弃物好氧发酵翻堆机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xml:space="preserve">配套总功率≥13kW槽式翻堆机 </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形式：槽式；动力形式：电机；配套总功率≥13kW；工作幅宽≥3m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有机废弃物好氧发酵翻堆机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配套总功率≥73kW自走式翻堆机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形式：自走式；动力形式：柴油机；配套总功率≥73kW；工作幅宽≥2.8m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畜禽粪便发酵处理机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6m3≤盛料容器容积＜30m3罐式畜禽粪便发酵处理机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罐式；6m3≤盛料容器容积＜30m3,含容器罐、自动投料机构、搅拌机构、供气、排气机构等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畜禽粪便发酵处理机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30m3≤盛料容器容积＜85m3罐式畜禽粪便发酵处理机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罐式；30m3≤盛料容器容积＜85m3,含容器罐、自动投料机构、搅拌机构、供气、排气机构等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畜禽粪便发酵处理机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盛料容器容积≥85m3畜禽粪便发酵处理机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罐式；盛料容器容积≥85m3，含容器罐、自动投料机构、搅拌机构、供气、排气机构等</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畜禽粪便发酵处理机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层叠式畜禽粪便发酵处理机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层叠式，盛料容器容积≥30m³，具有破碎、装盘布料机构</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撒肥机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肥箱容积0.3m³及以上固态肥抛撒机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离心式，肥箱容积≥0.3m³；撒施颗粒肥</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撒肥机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肥箱容积0.5m³及以上固态肥抛撒机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摆动式，肥箱容积≥0.5m³；撒施厩肥、农家肥</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撒肥机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罐体容积8-10m³液态肥撒施机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8m³≤罐体容积＜10m³；带开沟浅施装置或开沟深施覆土装置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18000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撒肥机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罐体容积10m³及以上液态肥撒施机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罐体容积≥10m³；带开沟浅施装置或开沟深施覆土装置</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25000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重新分档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青饲料收获机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150—160cm悬挂甩刀式青饲料收获机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悬挂甩刀式；150cm≤割幅＜160cm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3510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删除档次、产品归为秸秆粉碎还田机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青饲料收获机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160cm及以上悬挂甩刀式青饲料收获机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悬挂甩刀式；割幅≥160cm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3810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删除档次、产品归为秸秆粉碎还田机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喷杆喷雾机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12m及以上悬挂及牵引式喷杆喷雾机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喷杆长度≥12m；形式：悬挂及牵引式</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1300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上调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2"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喷杆喷雾机</w:t>
            </w:r>
          </w:p>
        </w:tc>
        <w:tc>
          <w:tcPr>
            <w:tcW w:w="2895"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18马力及以上自走式喷杆喷雾机</w:t>
            </w:r>
          </w:p>
        </w:tc>
        <w:tc>
          <w:tcPr>
            <w:tcW w:w="4961"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功率≥18马力；形式：自走式，四轮驱动、四轮转向；离地间隙≥500mm；药箱容积≥300L；喷杆长度≥8m</w:t>
            </w:r>
          </w:p>
        </w:tc>
        <w:tc>
          <w:tcPr>
            <w:tcW w:w="1284"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16000</w:t>
            </w:r>
          </w:p>
        </w:tc>
        <w:tc>
          <w:tcPr>
            <w:tcW w:w="2593" w:type="dxa"/>
            <w:shd w:val="clear" w:color="000000" w:fill="FFFFFF"/>
            <w:vAlign w:val="center"/>
          </w:tcPr>
          <w:p>
            <w:pPr>
              <w:widowControl/>
              <w:spacing w:line="0" w:lineRule="atLeas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优化参数、下调</w:t>
            </w:r>
          </w:p>
        </w:tc>
      </w:tr>
    </w:tbl>
    <w:p>
      <w:pPr>
        <w:spacing w:line="600" w:lineRule="exact"/>
        <w:jc w:val="center"/>
        <w:rPr>
          <w:rFonts w:ascii="方正小标宋_GBK" w:eastAsia="方正小标宋_GBK"/>
          <w:sz w:val="13"/>
          <w:szCs w:val="13"/>
        </w:rPr>
      </w:pPr>
    </w:p>
    <w:p>
      <w:pPr>
        <w:spacing w:line="600" w:lineRule="exact"/>
        <w:jc w:val="center"/>
        <w:rPr>
          <w:rFonts w:ascii="方正小标宋_GBK" w:eastAsia="方正小标宋_GBK"/>
          <w:sz w:val="13"/>
          <w:szCs w:val="13"/>
        </w:rPr>
      </w:pPr>
    </w:p>
    <w:sectPr>
      <w:pgSz w:w="16838" w:h="11906" w:orient="landscape"/>
      <w:pgMar w:top="1474" w:right="1440" w:bottom="147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03813"/>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rFonts w:hint="eastAsia" w:ascii="方正楷体_GBK" w:eastAsia="方正楷体_GBK"/>
                <w:b/>
                <w:sz w:val="24"/>
                <w:szCs w:val="24"/>
              </w:rPr>
              <w:fldChar w:fldCharType="begin"/>
            </w:r>
            <w:r>
              <w:rPr>
                <w:rFonts w:hint="eastAsia" w:ascii="方正楷体_GBK" w:eastAsia="方正楷体_GBK"/>
                <w:b/>
                <w:sz w:val="24"/>
                <w:szCs w:val="24"/>
              </w:rPr>
              <w:instrText xml:space="preserve">PAGE</w:instrText>
            </w:r>
            <w:r>
              <w:rPr>
                <w:rFonts w:hint="eastAsia" w:ascii="方正楷体_GBK" w:eastAsia="方正楷体_GBK"/>
                <w:b/>
                <w:sz w:val="24"/>
                <w:szCs w:val="24"/>
              </w:rPr>
              <w:fldChar w:fldCharType="separate"/>
            </w:r>
            <w:r>
              <w:rPr>
                <w:rFonts w:ascii="方正楷体_GBK" w:eastAsia="方正楷体_GBK"/>
                <w:b/>
                <w:sz w:val="24"/>
                <w:szCs w:val="24"/>
              </w:rPr>
              <w:t>13</w:t>
            </w:r>
            <w:r>
              <w:rPr>
                <w:rFonts w:hint="eastAsia" w:ascii="方正楷体_GBK" w:eastAsia="方正楷体_GBK"/>
                <w:b/>
                <w:sz w:val="24"/>
                <w:szCs w:val="24"/>
              </w:rPr>
              <w:fldChar w:fldCharType="end"/>
            </w:r>
            <w:r>
              <w:rPr>
                <w:rFonts w:hint="eastAsia" w:ascii="方正楷体_GBK" w:eastAsia="方正楷体_GBK"/>
                <w:sz w:val="24"/>
                <w:szCs w:val="24"/>
                <w:lang w:val="zh-CN"/>
              </w:rPr>
              <w:t xml:space="preserve"> / </w:t>
            </w:r>
            <w:r>
              <w:rPr>
                <w:rFonts w:hint="eastAsia" w:ascii="方正楷体_GBK" w:eastAsia="方正楷体_GBK"/>
                <w:b/>
                <w:sz w:val="24"/>
                <w:szCs w:val="24"/>
              </w:rPr>
              <w:fldChar w:fldCharType="begin"/>
            </w:r>
            <w:r>
              <w:rPr>
                <w:rFonts w:hint="eastAsia" w:ascii="方正楷体_GBK" w:eastAsia="方正楷体_GBK"/>
                <w:b/>
                <w:sz w:val="24"/>
                <w:szCs w:val="24"/>
              </w:rPr>
              <w:instrText xml:space="preserve">NUMPAGES</w:instrText>
            </w:r>
            <w:r>
              <w:rPr>
                <w:rFonts w:hint="eastAsia" w:ascii="方正楷体_GBK" w:eastAsia="方正楷体_GBK"/>
                <w:b/>
                <w:sz w:val="24"/>
                <w:szCs w:val="24"/>
              </w:rPr>
              <w:fldChar w:fldCharType="separate"/>
            </w:r>
            <w:r>
              <w:rPr>
                <w:rFonts w:ascii="方正楷体_GBK" w:eastAsia="方正楷体_GBK"/>
                <w:b/>
                <w:sz w:val="24"/>
                <w:szCs w:val="24"/>
              </w:rPr>
              <w:t>13</w:t>
            </w:r>
            <w:r>
              <w:rPr>
                <w:rFonts w:hint="eastAsia" w:ascii="方正楷体_GBK" w:eastAsia="方正楷体_GBK"/>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65F9"/>
    <w:multiLevelType w:val="multilevel"/>
    <w:tmpl w:val="407E65F9"/>
    <w:lvl w:ilvl="0" w:tentative="0">
      <w:start w:val="1"/>
      <w:numFmt w:val="none"/>
      <w:pStyle w:val="20"/>
      <w:lvlText w:val="%1●　"/>
      <w:lvlJc w:val="left"/>
      <w:pPr>
        <w:tabs>
          <w:tab w:val="left" w:pos="560"/>
        </w:tabs>
        <w:ind w:left="517" w:hanging="317"/>
      </w:pPr>
      <w:rPr>
        <w:rFonts w:hint="eastAsia" w:ascii="宋体" w:hAnsi="Times New Roman" w:eastAsia="宋体"/>
        <w:b w:val="0"/>
        <w:i w:val="0"/>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46260FA"/>
    <w:multiLevelType w:val="multilevel"/>
    <w:tmpl w:val="646260FA"/>
    <w:lvl w:ilvl="0" w:tentative="0">
      <w:start w:val="1"/>
      <w:numFmt w:val="decimal"/>
      <w:pStyle w:val="28"/>
      <w:suff w:val="nothing"/>
      <w:lvlText w:val="表%1　"/>
      <w:lvlJc w:val="left"/>
      <w:pPr>
        <w:ind w:left="3686" w:firstLine="0"/>
      </w:pPr>
      <w:rPr>
        <w:rFonts w:hint="eastAsia" w:ascii="黑体" w:hAnsi="Times New Roman" w:eastAsia="黑体"/>
        <w:b w:val="0"/>
        <w:i w:val="0"/>
        <w:sz w:val="21"/>
      </w:rPr>
    </w:lvl>
    <w:lvl w:ilvl="1" w:tentative="0">
      <w:start w:val="1"/>
      <w:numFmt w:val="decimal"/>
      <w:pStyle w:val="23"/>
      <w:lvlText w:val="%1.%2"/>
      <w:lvlJc w:val="left"/>
      <w:pPr>
        <w:tabs>
          <w:tab w:val="left" w:pos="1622"/>
        </w:tabs>
        <w:ind w:left="1622" w:hanging="567"/>
      </w:pPr>
      <w:rPr>
        <w:rFonts w:hint="eastAsia"/>
      </w:rPr>
    </w:lvl>
    <w:lvl w:ilvl="2" w:tentative="0">
      <w:start w:val="1"/>
      <w:numFmt w:val="decimal"/>
      <w:pStyle w:val="24"/>
      <w:lvlText w:val="%1.%2.%3"/>
      <w:lvlJc w:val="left"/>
      <w:pPr>
        <w:tabs>
          <w:tab w:val="left" w:pos="2048"/>
        </w:tabs>
        <w:ind w:left="2048" w:hanging="567"/>
      </w:pPr>
      <w:rPr>
        <w:rFonts w:hint="eastAsia"/>
      </w:rPr>
    </w:lvl>
    <w:lvl w:ilvl="3" w:tentative="0">
      <w:start w:val="1"/>
      <w:numFmt w:val="decimal"/>
      <w:pStyle w:val="25"/>
      <w:lvlText w:val="%1.%2.%3.%4"/>
      <w:lvlJc w:val="left"/>
      <w:pPr>
        <w:tabs>
          <w:tab w:val="left" w:pos="2614"/>
        </w:tabs>
        <w:ind w:left="2614" w:hanging="708"/>
      </w:pPr>
      <w:rPr>
        <w:rFonts w:hint="eastAsia"/>
      </w:rPr>
    </w:lvl>
    <w:lvl w:ilvl="4" w:tentative="0">
      <w:start w:val="1"/>
      <w:numFmt w:val="decimal"/>
      <w:pStyle w:val="26"/>
      <w:lvlText w:val="%1.%2.%3.%4.%5"/>
      <w:lvlJc w:val="left"/>
      <w:pPr>
        <w:tabs>
          <w:tab w:val="left" w:pos="3181"/>
        </w:tabs>
        <w:ind w:left="3181" w:hanging="850"/>
      </w:pPr>
      <w:rPr>
        <w:rFonts w:hint="eastAsia"/>
      </w:rPr>
    </w:lvl>
    <w:lvl w:ilvl="5" w:tentative="0">
      <w:start w:val="1"/>
      <w:numFmt w:val="decimal"/>
      <w:pStyle w:val="27"/>
      <w:lvlText w:val="%1.%2.%3.%4.%5.%6"/>
      <w:lvlJc w:val="left"/>
      <w:pPr>
        <w:tabs>
          <w:tab w:val="left" w:pos="3890"/>
        </w:tabs>
        <w:ind w:left="3890" w:hanging="1134"/>
      </w:pPr>
      <w:rPr>
        <w:rFonts w:hint="eastAsia"/>
      </w:rPr>
    </w:lvl>
    <w:lvl w:ilvl="6" w:tentative="0">
      <w:start w:val="1"/>
      <w:numFmt w:val="decimal"/>
      <w:lvlText w:val="%1.%2.%3.%4.%5.%6.%7"/>
      <w:lvlJc w:val="left"/>
      <w:pPr>
        <w:tabs>
          <w:tab w:val="left" w:pos="4457"/>
        </w:tabs>
        <w:ind w:left="4457" w:hanging="1276"/>
      </w:pPr>
      <w:rPr>
        <w:rFonts w:hint="eastAsia"/>
      </w:rPr>
    </w:lvl>
    <w:lvl w:ilvl="7" w:tentative="0">
      <w:start w:val="1"/>
      <w:numFmt w:val="decimal"/>
      <w:lvlText w:val="%1.%2.%3.%4.%5.%6.%7.%8"/>
      <w:lvlJc w:val="left"/>
      <w:pPr>
        <w:tabs>
          <w:tab w:val="left" w:pos="5024"/>
        </w:tabs>
        <w:ind w:left="5024" w:hanging="1418"/>
      </w:pPr>
      <w:rPr>
        <w:rFonts w:hint="eastAsia"/>
      </w:rPr>
    </w:lvl>
    <w:lvl w:ilvl="8" w:tentative="0">
      <w:start w:val="1"/>
      <w:numFmt w:val="decimal"/>
      <w:lvlText w:val="%1.%2.%3.%4.%5.%6.%7.%8.%9"/>
      <w:lvlJc w:val="left"/>
      <w:pPr>
        <w:tabs>
          <w:tab w:val="left" w:pos="5732"/>
        </w:tabs>
        <w:ind w:left="573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6E66"/>
    <w:rsid w:val="00002906"/>
    <w:rsid w:val="00011042"/>
    <w:rsid w:val="00032DFA"/>
    <w:rsid w:val="00061F2C"/>
    <w:rsid w:val="00070752"/>
    <w:rsid w:val="000A790E"/>
    <w:rsid w:val="000F3FA5"/>
    <w:rsid w:val="001163F2"/>
    <w:rsid w:val="00165960"/>
    <w:rsid w:val="001740F0"/>
    <w:rsid w:val="00190A20"/>
    <w:rsid w:val="001D4A23"/>
    <w:rsid w:val="00213C40"/>
    <w:rsid w:val="00232C35"/>
    <w:rsid w:val="00250810"/>
    <w:rsid w:val="00275D0D"/>
    <w:rsid w:val="002A088A"/>
    <w:rsid w:val="002A17D2"/>
    <w:rsid w:val="002B7929"/>
    <w:rsid w:val="002C2EDE"/>
    <w:rsid w:val="002C36A9"/>
    <w:rsid w:val="002D6296"/>
    <w:rsid w:val="00300CD8"/>
    <w:rsid w:val="00306F27"/>
    <w:rsid w:val="00327162"/>
    <w:rsid w:val="00347A34"/>
    <w:rsid w:val="00353414"/>
    <w:rsid w:val="00363DB3"/>
    <w:rsid w:val="00381649"/>
    <w:rsid w:val="003846CE"/>
    <w:rsid w:val="003D528C"/>
    <w:rsid w:val="003D6373"/>
    <w:rsid w:val="003E0C0A"/>
    <w:rsid w:val="003E1B73"/>
    <w:rsid w:val="003E5141"/>
    <w:rsid w:val="0041590E"/>
    <w:rsid w:val="00433016"/>
    <w:rsid w:val="00437514"/>
    <w:rsid w:val="00447D8C"/>
    <w:rsid w:val="00447EB3"/>
    <w:rsid w:val="004831FC"/>
    <w:rsid w:val="00490CA9"/>
    <w:rsid w:val="004934DA"/>
    <w:rsid w:val="00515E49"/>
    <w:rsid w:val="00552A3C"/>
    <w:rsid w:val="00562CE4"/>
    <w:rsid w:val="00587CB9"/>
    <w:rsid w:val="005A6439"/>
    <w:rsid w:val="005B7B5C"/>
    <w:rsid w:val="005C3FE4"/>
    <w:rsid w:val="005D7EC2"/>
    <w:rsid w:val="005F71DF"/>
    <w:rsid w:val="006124BE"/>
    <w:rsid w:val="0064638D"/>
    <w:rsid w:val="006702E5"/>
    <w:rsid w:val="0069629B"/>
    <w:rsid w:val="006A32DB"/>
    <w:rsid w:val="006E4C73"/>
    <w:rsid w:val="006F028E"/>
    <w:rsid w:val="00721914"/>
    <w:rsid w:val="007B2126"/>
    <w:rsid w:val="007B795F"/>
    <w:rsid w:val="007C2F0D"/>
    <w:rsid w:val="007D270A"/>
    <w:rsid w:val="007D2D34"/>
    <w:rsid w:val="007F204E"/>
    <w:rsid w:val="00870A1B"/>
    <w:rsid w:val="00875576"/>
    <w:rsid w:val="00886070"/>
    <w:rsid w:val="00892598"/>
    <w:rsid w:val="008D1380"/>
    <w:rsid w:val="008D48D9"/>
    <w:rsid w:val="008E641F"/>
    <w:rsid w:val="00975743"/>
    <w:rsid w:val="00977F81"/>
    <w:rsid w:val="009808F0"/>
    <w:rsid w:val="009A1832"/>
    <w:rsid w:val="009C0427"/>
    <w:rsid w:val="009F6517"/>
    <w:rsid w:val="00A249EC"/>
    <w:rsid w:val="00A24C84"/>
    <w:rsid w:val="00A35A90"/>
    <w:rsid w:val="00A4001C"/>
    <w:rsid w:val="00A66BF3"/>
    <w:rsid w:val="00A7409C"/>
    <w:rsid w:val="00AE584F"/>
    <w:rsid w:val="00AF0057"/>
    <w:rsid w:val="00B04E76"/>
    <w:rsid w:val="00B210CA"/>
    <w:rsid w:val="00B42B9F"/>
    <w:rsid w:val="00B47572"/>
    <w:rsid w:val="00B53B13"/>
    <w:rsid w:val="00B53BC7"/>
    <w:rsid w:val="00B71051"/>
    <w:rsid w:val="00BA4BC6"/>
    <w:rsid w:val="00BA5080"/>
    <w:rsid w:val="00BC1F83"/>
    <w:rsid w:val="00BC3F68"/>
    <w:rsid w:val="00BC6E66"/>
    <w:rsid w:val="00BD3E73"/>
    <w:rsid w:val="00BF0B5C"/>
    <w:rsid w:val="00BF5A00"/>
    <w:rsid w:val="00C036B6"/>
    <w:rsid w:val="00C40D91"/>
    <w:rsid w:val="00C61CCF"/>
    <w:rsid w:val="00C755D7"/>
    <w:rsid w:val="00C83346"/>
    <w:rsid w:val="00CB0078"/>
    <w:rsid w:val="00CB0B69"/>
    <w:rsid w:val="00CB650D"/>
    <w:rsid w:val="00CD2B67"/>
    <w:rsid w:val="00D77517"/>
    <w:rsid w:val="00DA7360"/>
    <w:rsid w:val="00DB51AD"/>
    <w:rsid w:val="00DC780A"/>
    <w:rsid w:val="00E514A4"/>
    <w:rsid w:val="00E8180F"/>
    <w:rsid w:val="00E852F6"/>
    <w:rsid w:val="00EC19AC"/>
    <w:rsid w:val="00F20010"/>
    <w:rsid w:val="00F20FCA"/>
    <w:rsid w:val="00F2140E"/>
    <w:rsid w:val="00F23AC6"/>
    <w:rsid w:val="00F4616E"/>
    <w:rsid w:val="00F7714C"/>
    <w:rsid w:val="00F826C8"/>
    <w:rsid w:val="00F941EA"/>
    <w:rsid w:val="00FD1142"/>
    <w:rsid w:val="00FE6A67"/>
    <w:rsid w:val="48F3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ody Text Indent"/>
    <w:basedOn w:val="1"/>
    <w:link w:val="21"/>
    <w:uiPriority w:val="0"/>
    <w:pPr>
      <w:ind w:firstLine="480"/>
    </w:pPr>
    <w:rPr>
      <w:rFonts w:ascii="Times New Roman" w:hAnsi="Times New Roman" w:eastAsia="宋体" w:cs="Times New Roman"/>
      <w:sz w:val="24"/>
      <w:szCs w:val="20"/>
    </w:rPr>
  </w:style>
  <w:style w:type="paragraph" w:styleId="4">
    <w:name w:val="Date"/>
    <w:basedOn w:val="1"/>
    <w:next w:val="1"/>
    <w:link w:val="16"/>
    <w:semiHidden/>
    <w:unhideWhenUsed/>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19"/>
    <w:semiHidden/>
    <w:unhideWhenUsed/>
    <w:uiPriority w:val="99"/>
    <w:rPr>
      <w:b/>
      <w:bCs/>
    </w:rPr>
  </w:style>
  <w:style w:type="character" w:styleId="12">
    <w:name w:val="annotation reference"/>
    <w:basedOn w:val="11"/>
    <w:semiHidden/>
    <w:unhideWhenUsed/>
    <w:uiPriority w:val="99"/>
    <w:rPr>
      <w:sz w:val="21"/>
      <w:szCs w:val="21"/>
    </w:rPr>
  </w:style>
  <w:style w:type="character" w:customStyle="1" w:styleId="13">
    <w:name w:val="页眉 Char"/>
    <w:basedOn w:val="11"/>
    <w:link w:val="7"/>
    <w:semiHidden/>
    <w:uiPriority w:val="99"/>
    <w:rPr>
      <w:sz w:val="18"/>
      <w:szCs w:val="18"/>
    </w:rPr>
  </w:style>
  <w:style w:type="character" w:customStyle="1" w:styleId="14">
    <w:name w:val="页脚 Char"/>
    <w:basedOn w:val="11"/>
    <w:link w:val="6"/>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11"/>
    <w:link w:val="4"/>
    <w:semiHidden/>
    <w:uiPriority w:val="99"/>
  </w:style>
  <w:style w:type="character" w:customStyle="1" w:styleId="17">
    <w:name w:val="批注框文本 Char"/>
    <w:basedOn w:val="11"/>
    <w:link w:val="5"/>
    <w:semiHidden/>
    <w:uiPriority w:val="99"/>
    <w:rPr>
      <w:sz w:val="18"/>
      <w:szCs w:val="18"/>
    </w:rPr>
  </w:style>
  <w:style w:type="character" w:customStyle="1" w:styleId="18">
    <w:name w:val="批注文字 Char"/>
    <w:basedOn w:val="11"/>
    <w:link w:val="2"/>
    <w:semiHidden/>
    <w:uiPriority w:val="99"/>
  </w:style>
  <w:style w:type="character" w:customStyle="1" w:styleId="19">
    <w:name w:val="批注主题 Char"/>
    <w:basedOn w:val="18"/>
    <w:link w:val="9"/>
    <w:semiHidden/>
    <w:uiPriority w:val="99"/>
    <w:rPr>
      <w:b/>
      <w:bCs/>
    </w:rPr>
  </w:style>
  <w:style w:type="paragraph" w:customStyle="1" w:styleId="20">
    <w:name w:val="列项·"/>
    <w:uiPriority w:val="0"/>
    <w:pPr>
      <w:numPr>
        <w:ilvl w:val="0"/>
        <w:numId w:val="1"/>
      </w:numPr>
      <w:tabs>
        <w:tab w:val="left" w:pos="840"/>
      </w:tabs>
      <w:jc w:val="both"/>
    </w:pPr>
    <w:rPr>
      <w:rFonts w:ascii="宋体" w:hAnsi="Times New Roman" w:eastAsia="宋体" w:cs="Times New Roman"/>
      <w:kern w:val="0"/>
      <w:sz w:val="21"/>
      <w:szCs w:val="20"/>
      <w:lang w:val="en-US" w:eastAsia="zh-CN" w:bidi="ar-SA"/>
    </w:rPr>
  </w:style>
  <w:style w:type="character" w:customStyle="1" w:styleId="21">
    <w:name w:val="正文文本缩进 Char"/>
    <w:basedOn w:val="11"/>
    <w:link w:val="3"/>
    <w:uiPriority w:val="0"/>
    <w:rPr>
      <w:rFonts w:ascii="Times New Roman" w:hAnsi="Times New Roman" w:eastAsia="宋体" w:cs="Times New Roman"/>
      <w:sz w:val="24"/>
      <w:szCs w:val="20"/>
    </w:rPr>
  </w:style>
  <w:style w:type="paragraph" w:customStyle="1" w:styleId="22">
    <w:name w:val="段"/>
    <w:link w:val="29"/>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3">
    <w:name w:val="章标题"/>
    <w:next w:val="22"/>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4">
    <w:name w:val="一级条标题"/>
    <w:next w:val="22"/>
    <w:link w:val="30"/>
    <w:uiPriority w:val="0"/>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25">
    <w:name w:val="二级条标题"/>
    <w:basedOn w:val="24"/>
    <w:next w:val="22"/>
    <w:uiPriority w:val="0"/>
    <w:pPr>
      <w:numPr>
        <w:ilvl w:val="3"/>
      </w:numPr>
      <w:tabs>
        <w:tab w:val="left" w:pos="1680"/>
      </w:tabs>
      <w:ind w:left="1680" w:hanging="420"/>
      <w:outlineLvl w:val="3"/>
    </w:pPr>
  </w:style>
  <w:style w:type="paragraph" w:customStyle="1" w:styleId="26">
    <w:name w:val="三级条标题"/>
    <w:basedOn w:val="25"/>
    <w:next w:val="22"/>
    <w:uiPriority w:val="0"/>
    <w:pPr>
      <w:numPr>
        <w:ilvl w:val="4"/>
      </w:numPr>
      <w:tabs>
        <w:tab w:val="left" w:pos="360"/>
        <w:tab w:val="left" w:pos="2614"/>
      </w:tabs>
      <w:ind w:left="2951" w:hanging="420"/>
      <w:outlineLvl w:val="4"/>
    </w:pPr>
  </w:style>
  <w:style w:type="paragraph" w:customStyle="1" w:styleId="27">
    <w:name w:val="图表脚注"/>
    <w:next w:val="22"/>
    <w:qFormat/>
    <w:uiPriority w:val="0"/>
    <w:pPr>
      <w:numPr>
        <w:ilvl w:val="5"/>
        <w:numId w:val="2"/>
      </w:numPr>
      <w:jc w:val="both"/>
    </w:pPr>
    <w:rPr>
      <w:rFonts w:ascii="宋体" w:hAnsi="Times New Roman" w:eastAsia="宋体" w:cs="Times New Roman"/>
      <w:kern w:val="0"/>
      <w:sz w:val="18"/>
      <w:szCs w:val="20"/>
      <w:lang w:val="en-US" w:eastAsia="zh-CN" w:bidi="ar-SA"/>
    </w:rPr>
  </w:style>
  <w:style w:type="paragraph" w:customStyle="1" w:styleId="28">
    <w:name w:val="正文表标题"/>
    <w:next w:val="22"/>
    <w:link w:val="31"/>
    <w:qFormat/>
    <w:uiPriority w:val="0"/>
    <w:pPr>
      <w:numPr>
        <w:ilvl w:val="0"/>
        <w:numId w:val="2"/>
      </w:numPr>
      <w:jc w:val="center"/>
    </w:pPr>
    <w:rPr>
      <w:rFonts w:ascii="黑体" w:hAnsi="Times New Roman" w:eastAsia="黑体" w:cs="Times New Roman"/>
      <w:kern w:val="0"/>
      <w:sz w:val="21"/>
      <w:szCs w:val="20"/>
      <w:lang w:val="en-US" w:eastAsia="zh-CN" w:bidi="ar-SA"/>
    </w:rPr>
  </w:style>
  <w:style w:type="character" w:customStyle="1" w:styleId="29">
    <w:name w:val="段 Char"/>
    <w:link w:val="22"/>
    <w:qFormat/>
    <w:uiPriority w:val="0"/>
    <w:rPr>
      <w:rFonts w:ascii="宋体" w:hAnsi="Times New Roman" w:eastAsia="宋体" w:cs="Times New Roman"/>
      <w:kern w:val="0"/>
      <w:szCs w:val="20"/>
    </w:rPr>
  </w:style>
  <w:style w:type="character" w:customStyle="1" w:styleId="30">
    <w:name w:val="一级条标题 Char"/>
    <w:link w:val="24"/>
    <w:qFormat/>
    <w:uiPriority w:val="0"/>
    <w:rPr>
      <w:rFonts w:ascii="Times New Roman" w:hAnsi="Times New Roman" w:eastAsia="黑体" w:cs="Times New Roman"/>
      <w:kern w:val="0"/>
      <w:szCs w:val="20"/>
    </w:rPr>
  </w:style>
  <w:style w:type="character" w:customStyle="1" w:styleId="31">
    <w:name w:val="正文表标题 Char"/>
    <w:link w:val="28"/>
    <w:qFormat/>
    <w:uiPriority w:val="0"/>
    <w:rPr>
      <w:rFonts w:ascii="黑体" w:hAnsi="Times New Roman" w:eastAsia="黑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EFFAF-A1DE-49C7-B008-7B23E21F95B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1054</Words>
  <Characters>6008</Characters>
  <Lines>50</Lines>
  <Paragraphs>14</Paragraphs>
  <TotalTime>33</TotalTime>
  <ScaleCrop>false</ScaleCrop>
  <LinksUpToDate>false</LinksUpToDate>
  <CharactersWithSpaces>7048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2020-05-29T07:31:00Z</dcterms:created>
  <dc:creator>HP</dc:creator>
  <cp:lastModifiedBy>HP-1</cp:lastModifiedBy>
  <dcterms:modified xsi:type="dcterms:W3CDTF">2020-05-29T08:11:49Z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