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textAlignment w:val="baseline"/>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2019年1月至8月屠宰环节病害猪无害化处理统计表</w:t>
      </w:r>
    </w:p>
    <w:bookmarkEnd w:id="0"/>
    <w:tbl>
      <w:tblPr>
        <w:tblStyle w:val="3"/>
        <w:tblW w:w="13964" w:type="dxa"/>
        <w:tblInd w:w="0" w:type="dxa"/>
        <w:tblLayout w:type="fixed"/>
        <w:tblCellMar>
          <w:top w:w="15" w:type="dxa"/>
          <w:left w:w="15" w:type="dxa"/>
          <w:bottom w:w="15" w:type="dxa"/>
          <w:right w:w="15" w:type="dxa"/>
        </w:tblCellMar>
      </w:tblPr>
      <w:tblGrid>
        <w:gridCol w:w="2829"/>
        <w:gridCol w:w="1855"/>
        <w:gridCol w:w="1855"/>
        <w:gridCol w:w="1855"/>
        <w:gridCol w:w="1855"/>
        <w:gridCol w:w="1855"/>
        <w:gridCol w:w="1860"/>
      </w:tblGrid>
      <w:tr>
        <w:tblPrEx>
          <w:tblLayout w:type="fixed"/>
          <w:tblCellMar>
            <w:top w:w="15" w:type="dxa"/>
            <w:left w:w="15" w:type="dxa"/>
            <w:bottom w:w="15" w:type="dxa"/>
            <w:right w:w="15" w:type="dxa"/>
          </w:tblCellMar>
        </w:tblPrEx>
        <w:trPr>
          <w:trHeight w:val="988" w:hRule="atLeast"/>
        </w:trPr>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企业名称</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病害猪处理头数（头）</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病害生猪产品折合头数（头）</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病害猪损失补贴合计头数（头）</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待宰前死亡生猪处理头数（头）</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病害猪无害化处理总数（头）</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无害化补贴金额（万元）</w:t>
            </w:r>
          </w:p>
        </w:tc>
      </w:tr>
      <w:tr>
        <w:tblPrEx>
          <w:tblLayout w:type="fixed"/>
          <w:tblCellMar>
            <w:top w:w="15" w:type="dxa"/>
            <w:left w:w="15" w:type="dxa"/>
            <w:bottom w:w="15" w:type="dxa"/>
            <w:right w:w="15" w:type="dxa"/>
          </w:tblCellMar>
        </w:tblPrEx>
        <w:trPr>
          <w:trHeight w:val="672" w:hRule="atLeast"/>
        </w:trPr>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szCs w:val="24"/>
              </w:rPr>
            </w:pPr>
          </w:p>
        </w:tc>
        <w:tc>
          <w:tcPr>
            <w:tcW w:w="18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①</w:t>
            </w:r>
          </w:p>
        </w:tc>
        <w:tc>
          <w:tcPr>
            <w:tcW w:w="18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②</w:t>
            </w:r>
          </w:p>
        </w:tc>
        <w:tc>
          <w:tcPr>
            <w:tcW w:w="18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③=①+②</w:t>
            </w:r>
          </w:p>
        </w:tc>
        <w:tc>
          <w:tcPr>
            <w:tcW w:w="18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④</w:t>
            </w:r>
          </w:p>
        </w:tc>
        <w:tc>
          <w:tcPr>
            <w:tcW w:w="18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⑤=③+④</w:t>
            </w:r>
          </w:p>
        </w:tc>
        <w:tc>
          <w:tcPr>
            <w:tcW w:w="186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b/>
                <w:bCs/>
                <w:color w:val="000000"/>
                <w:kern w:val="0"/>
                <w:sz w:val="24"/>
                <w:szCs w:val="24"/>
                <w:lang w:bidi="ar"/>
              </w:rPr>
              <w:t>⑥</w:t>
            </w:r>
            <w:r>
              <w:rPr>
                <w:rFonts w:hint="eastAsia" w:ascii="仿宋" w:hAnsi="仿宋" w:eastAsia="仿宋" w:cs="仿宋"/>
                <w:color w:val="000000"/>
                <w:kern w:val="0"/>
                <w:sz w:val="24"/>
                <w:szCs w:val="24"/>
                <w:lang w:bidi="ar"/>
              </w:rPr>
              <w:t>=（④</w:t>
            </w:r>
            <w:r>
              <w:rPr>
                <w:rFonts w:ascii="Arial" w:hAnsi="Arial" w:eastAsia="仿宋" w:cs="Arial"/>
                <w:color w:val="000000"/>
                <w:kern w:val="0"/>
                <w:sz w:val="24"/>
                <w:szCs w:val="24"/>
                <w:lang w:bidi="ar"/>
              </w:rPr>
              <w:t>×</w:t>
            </w:r>
            <w:r>
              <w:rPr>
                <w:rFonts w:hint="eastAsia" w:ascii="仿宋" w:hAnsi="仿宋" w:eastAsia="仿宋" w:cs="仿宋"/>
                <w:color w:val="000000"/>
                <w:kern w:val="0"/>
                <w:sz w:val="24"/>
                <w:szCs w:val="24"/>
                <w:lang w:bidi="ar"/>
              </w:rPr>
              <w:t>80+③</w:t>
            </w:r>
            <w:r>
              <w:rPr>
                <w:rFonts w:ascii="Arial" w:hAnsi="Arial" w:eastAsia="仿宋" w:cs="Arial"/>
                <w:color w:val="000000"/>
                <w:kern w:val="0"/>
                <w:sz w:val="24"/>
                <w:szCs w:val="24"/>
                <w:lang w:bidi="ar"/>
              </w:rPr>
              <w:t>×</w:t>
            </w:r>
            <w:r>
              <w:rPr>
                <w:rFonts w:hint="eastAsia" w:ascii="仿宋" w:hAnsi="仿宋" w:eastAsia="仿宋" w:cs="仿宋"/>
                <w:color w:val="000000"/>
                <w:kern w:val="0"/>
                <w:sz w:val="24"/>
                <w:szCs w:val="24"/>
                <w:lang w:bidi="ar"/>
              </w:rPr>
              <w:t>880）/10000</w:t>
            </w:r>
          </w:p>
        </w:tc>
      </w:tr>
      <w:tr>
        <w:tblPrEx>
          <w:tblLayout w:type="fixed"/>
          <w:tblCellMar>
            <w:top w:w="15" w:type="dxa"/>
            <w:left w:w="15" w:type="dxa"/>
            <w:bottom w:w="15" w:type="dxa"/>
            <w:right w:w="15" w:type="dxa"/>
          </w:tblCellMar>
        </w:tblPrEx>
        <w:trPr>
          <w:trHeight w:val="630"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北京顺鑫农业股份有限公司鹏程食品分公司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942</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942</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982</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83.216000</w:t>
            </w:r>
          </w:p>
        </w:tc>
      </w:tr>
      <w:tr>
        <w:tblPrEx>
          <w:tblLayout w:type="fixed"/>
          <w:tblCellMar>
            <w:top w:w="15" w:type="dxa"/>
            <w:left w:w="15" w:type="dxa"/>
            <w:bottom w:w="15" w:type="dxa"/>
            <w:right w:w="15" w:type="dxa"/>
          </w:tblCellMar>
        </w:tblPrEx>
        <w:trPr>
          <w:trHeight w:val="619"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北京二商大红门肉类食品有限公司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0.536000</w:t>
            </w:r>
          </w:p>
        </w:tc>
      </w:tr>
      <w:tr>
        <w:tblPrEx>
          <w:tblLayout w:type="fixed"/>
          <w:tblCellMar>
            <w:top w:w="15" w:type="dxa"/>
            <w:left w:w="15" w:type="dxa"/>
            <w:bottom w:w="15" w:type="dxa"/>
            <w:right w:w="15" w:type="dxa"/>
          </w:tblCellMar>
        </w:tblPrEx>
        <w:trPr>
          <w:trHeight w:val="576"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北京二商大红门五肉联食品有限公司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44</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44</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47</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3.896000</w:t>
            </w:r>
          </w:p>
        </w:tc>
      </w:tr>
      <w:tr>
        <w:tblPrEx>
          <w:tblLayout w:type="fixed"/>
          <w:tblCellMar>
            <w:top w:w="15" w:type="dxa"/>
            <w:left w:w="15" w:type="dxa"/>
            <w:bottom w:w="15" w:type="dxa"/>
            <w:right w:w="15" w:type="dxa"/>
          </w:tblCellMar>
        </w:tblPrEx>
        <w:trPr>
          <w:trHeight w:val="424"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北京燕都立民屠宰有限公司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0.41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0.41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0.41</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0.036080</w:t>
            </w:r>
          </w:p>
        </w:tc>
      </w:tr>
      <w:tr>
        <w:tblPrEx>
          <w:tblLayout w:type="fixed"/>
          <w:tblCellMar>
            <w:top w:w="15" w:type="dxa"/>
            <w:left w:w="15" w:type="dxa"/>
            <w:bottom w:w="15" w:type="dxa"/>
            <w:right w:w="15" w:type="dxa"/>
          </w:tblCellMar>
        </w:tblPrEx>
        <w:trPr>
          <w:trHeight w:val="376"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北京千喜鹤食品有限公司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162</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173</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37</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210</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15.520000</w:t>
            </w:r>
          </w:p>
        </w:tc>
      </w:tr>
      <w:tr>
        <w:tblPrEx>
          <w:tblLayout w:type="fixed"/>
          <w:tblCellMar>
            <w:top w:w="15" w:type="dxa"/>
            <w:left w:w="15" w:type="dxa"/>
            <w:bottom w:w="15" w:type="dxa"/>
            <w:right w:w="15" w:type="dxa"/>
          </w:tblCellMar>
        </w:tblPrEx>
        <w:trPr>
          <w:trHeight w:val="410"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北京资源亚太食品有限公司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r>
      <w:tr>
        <w:tblPrEx>
          <w:tblLayout w:type="fixed"/>
          <w:tblCellMar>
            <w:top w:w="15" w:type="dxa"/>
            <w:left w:w="15" w:type="dxa"/>
            <w:bottom w:w="15" w:type="dxa"/>
            <w:right w:w="15" w:type="dxa"/>
          </w:tblCellMar>
        </w:tblPrEx>
        <w:trPr>
          <w:trHeight w:val="393"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北京中瑞食品有限公司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26</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26</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26</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2.288000</w:t>
            </w:r>
          </w:p>
        </w:tc>
      </w:tr>
      <w:tr>
        <w:tblPrEx>
          <w:tblLayout w:type="fixed"/>
          <w:tblCellMar>
            <w:top w:w="15" w:type="dxa"/>
            <w:left w:w="15" w:type="dxa"/>
            <w:bottom w:w="15" w:type="dxa"/>
            <w:right w:w="15" w:type="dxa"/>
          </w:tblCellMar>
        </w:tblPrEx>
        <w:trPr>
          <w:trHeight w:val="419"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北京宇航肉联加工有限公司</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2.32</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2.32</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2.32</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0.204160</w:t>
            </w:r>
          </w:p>
        </w:tc>
      </w:tr>
      <w:tr>
        <w:tblPrEx>
          <w:tblLayout w:type="fixed"/>
          <w:tblCellMar>
            <w:top w:w="15" w:type="dxa"/>
            <w:left w:w="15" w:type="dxa"/>
            <w:bottom w:w="15" w:type="dxa"/>
            <w:right w:w="15" w:type="dxa"/>
          </w:tblCellMar>
        </w:tblPrEx>
        <w:trPr>
          <w:trHeight w:val="399"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北京市郎中屠宰厂</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0</w:t>
            </w:r>
          </w:p>
        </w:tc>
      </w:tr>
      <w:tr>
        <w:tblPrEx>
          <w:tblLayout w:type="fixed"/>
          <w:tblCellMar>
            <w:top w:w="15" w:type="dxa"/>
            <w:left w:w="15" w:type="dxa"/>
            <w:bottom w:w="15" w:type="dxa"/>
            <w:right w:w="15" w:type="dxa"/>
          </w:tblCellMar>
        </w:tblPrEx>
        <w:trPr>
          <w:trHeight w:val="475" w:hRule="atLeast"/>
        </w:trPr>
        <w:tc>
          <w:tcPr>
            <w:tcW w:w="2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共计</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1182.73</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1193.73</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81</w:t>
            </w:r>
          </w:p>
        </w:tc>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1274.73</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105.696240</w:t>
            </w:r>
          </w:p>
        </w:tc>
      </w:tr>
    </w:tbl>
    <w:p>
      <w:pPr>
        <w:spacing w:line="580" w:lineRule="exact"/>
        <w:textAlignment w:val="baseline"/>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屠宰环节病害猪无害化处理补贴说明：</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1.补贴对象：</w:t>
      </w:r>
      <w:r>
        <w:rPr>
          <w:rFonts w:hint="eastAsia" w:ascii="仿宋" w:hAnsi="仿宋" w:eastAsia="仿宋" w:cs="仿宋"/>
          <w:color w:val="000000"/>
          <w:kern w:val="0"/>
          <w:sz w:val="28"/>
          <w:szCs w:val="28"/>
          <w:lang w:bidi="ar"/>
        </w:rPr>
        <w:t>病害猪损失补贴对象是在屠宰过程中产生病害猪的本市生猪定点屠宰企业；无害化处理费用补贴对象是进行无害化处理的本市生猪定点屠宰企业。生猪定点屠宰企业是依照《生猪屠宰管理条例》取得生猪定点屠宰证书和生猪定点屠宰标志牌并依法办理工商登记的企业。</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2.补贴范围：</w:t>
      </w:r>
      <w:r>
        <w:rPr>
          <w:rFonts w:hint="eastAsia" w:ascii="仿宋" w:hAnsi="仿宋" w:eastAsia="仿宋" w:cs="仿宋"/>
          <w:color w:val="000000"/>
          <w:kern w:val="0"/>
          <w:sz w:val="28"/>
          <w:szCs w:val="28"/>
          <w:lang w:bidi="ar"/>
        </w:rPr>
        <w:t>病害猪损失的补贴范围是送至定点屠宰企业时存活的病害猪、屠宰过程中经检疫或肉品品质检验确认为不可食用的生猪产品所产生的损失；无害化处理费用的补贴范围是对病害猪及屠宰过程中经检疫或肉品品质检验确认为不可食用的生猪产品进行无害化处理产生的费用。</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3.补贴标准：</w:t>
      </w:r>
      <w:r>
        <w:rPr>
          <w:rFonts w:hint="eastAsia" w:ascii="仿宋" w:hAnsi="仿宋" w:eastAsia="仿宋" w:cs="仿宋"/>
          <w:color w:val="000000"/>
          <w:kern w:val="0"/>
          <w:sz w:val="28"/>
          <w:szCs w:val="28"/>
          <w:lang w:bidi="ar"/>
        </w:rPr>
        <w:t>病害猪损失补贴标准为800元／头，无害化处理费用补贴标准为80元／头。屠宰过程中经检疫或肉品品质检验确认为不可食用的生猪产品按90公斤折算一头的标准折算成相应头数，享受病害猪损失补贴和无害化处理费用补贴。</w:t>
      </w:r>
    </w:p>
    <w:p>
      <w:pPr>
        <w:widowControl/>
        <w:spacing w:line="400" w:lineRule="exact"/>
        <w:jc w:val="left"/>
        <w:textAlignment w:val="center"/>
        <w:rPr>
          <w:rFonts w:hint="eastAsia" w:ascii="楷体" w:hAnsi="楷体" w:eastAsia="楷体" w:cs="楷体"/>
          <w:color w:val="000000"/>
          <w:kern w:val="0"/>
          <w:sz w:val="28"/>
          <w:szCs w:val="28"/>
          <w:lang w:bidi="ar"/>
        </w:rPr>
      </w:pPr>
      <w:r>
        <w:rPr>
          <w:rFonts w:hint="eastAsia" w:ascii="楷体" w:hAnsi="楷体" w:eastAsia="楷体" w:cs="楷体"/>
          <w:color w:val="000000"/>
          <w:kern w:val="0"/>
          <w:sz w:val="28"/>
          <w:szCs w:val="28"/>
          <w:lang w:bidi="ar"/>
        </w:rPr>
        <w:t>4.统计表名词解释</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①病害猪处理头数是指送至定点屠宰企业时存活的病害猪头数，按照800元/头享受病害猪损失补贴和80元/头无害化处理费用补贴。</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②病害生猪产品折合头数是指屠宰过程中经检疫或肉品品质检验确认为不可食用的生猪产品按90公斤折算一头的标准折算成相应头数，按照800元/头享受病害猪损失补贴和80元/头无害化处理费用补贴。</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③病害猪损失补贴合计头数是病害猪处理头数与病害生猪产品折合头数相加之和。</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④待宰前死亡生猪处理头数是送至定点屠宰企业时已经死亡的病害猪处理头数，按照80元/头享受无害化处理费用补贴。</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⑤病害猪无害化处理总数是指病害猪损失补贴合计头数与待宰前死亡生猪处理头数之和。</w:t>
      </w:r>
    </w:p>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⑥病害猪无害化补贴金额是指病害猪损失补贴和无害化处理补贴之和。</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25ACB"/>
    <w:rsid w:val="30525A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2019-09-16T02:01:00Z</dcterms:created>
  <dc:creator>liying</dc:creator>
  <cp:lastModifiedBy>liying</cp:lastModifiedBy>
  <dcterms:modified xsi:type="dcterms:W3CDTF">2019-09-16T02:04:04Z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