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pPr>
      <w:bookmarkStart w:id="0" w:name="SectionMark0"/>
    </w:p>
    <w:p>
      <w:pPr>
        <w:pStyle w:val="82"/>
      </w:pPr>
    </w:p>
    <w:p>
      <w:pPr>
        <w:pStyle w:val="57"/>
        <w:framePr w:w="0" w:hRule="auto" w:wrap="auto" w:vAnchor="margin" w:hAnchor="text" w:xAlign="left" w:yAlign="inline"/>
      </w:pPr>
      <w:r>
        <w:t>DG</w:t>
      </w:r>
    </w:p>
    <w:p>
      <w:pPr>
        <w:pStyle w:val="82"/>
        <w:sectPr>
          <w:headerReference r:id="rId5" w:type="first"/>
          <w:footerReference r:id="rId8" w:type="first"/>
          <w:headerReference r:id="rId3" w:type="default"/>
          <w:footerReference r:id="rId6" w:type="default"/>
          <w:headerReference r:id="rId4" w:type="even"/>
          <w:footerReference r:id="rId7" w:type="even"/>
          <w:pgSz w:w="11907" w:h="16839"/>
          <w:pgMar w:top="567" w:right="1134" w:bottom="1361" w:left="1418" w:header="0" w:footer="0" w:gutter="0"/>
          <w:pgNumType w:start="1"/>
          <w:cols w:space="425" w:num="1"/>
          <w:titlePg/>
          <w:docGrid w:type="lines" w:linePitch="312" w:charSpace="0"/>
        </w:sectPr>
      </w:pPr>
      <w:r>
        <w:pict>
          <v:shape id="_x0000_s1026" o:spid="_x0000_s1026" o:spt="32" type="#_x0000_t32" style="position:absolute;left:0pt;margin-left:-9.2pt;margin-top:84.75pt;height:0pt;width:491.2pt;z-index:251637760;mso-width-relative:page;mso-height-relative:page;" o:connectortype="straight" filled="f" coordsize="21600,21600">
            <v:path arrowok="t"/>
            <v:fill on="f" focussize="0,0"/>
            <v:stroke/>
            <v:imagedata o:title=""/>
            <o:lock v:ext="edit"/>
          </v:shape>
        </w:pict>
      </w:r>
      <w:r>
        <w:pict>
          <v:shape id="_x0000_s1027" o:spid="_x0000_s1027" o:spt="32" type="#_x0000_t32" style="position:absolute;left:0pt;margin-left:0pt;margin-top:613.05pt;height:0pt;width:484.85pt;z-index:251638784;mso-width-relative:page;mso-height-relative:page;" o:connectortype="straight" filled="f" coordsize="21600,21600">
            <v:path arrowok="t"/>
            <v:fill on="f" focussize="0,0"/>
            <v:stroke/>
            <v:imagedata o:title=""/>
            <o:lock v:ext="edit"/>
          </v:shape>
        </w:pict>
      </w:r>
      <w:r>
        <w:pict>
          <v:line id="_x0000_s1028" o:spid="_x0000_s1028" o:spt="20" style="position:absolute;left:0pt;margin-left:0pt;margin-top:700pt;height:0pt;width:482pt;z-index:251636736;mso-width-relative:page;mso-height-relative:page;" stroked="t" coordsize="21600,21600">
            <v:path arrowok="t"/>
            <v:fill focussize="0,0"/>
            <v:stroke weight="1pt" color="#FFFFFF"/>
            <v:imagedata o:title=""/>
            <o:lock v:ext="edit"/>
          </v:line>
        </w:pict>
      </w:r>
      <w:r>
        <w:pict>
          <v:line id="_x0000_s1029" o:spid="_x0000_s1029" o:spt="20" style="position:absolute;left:0pt;margin-left:0pt;margin-top:179pt;height:0pt;width:482pt;z-index:251635712;mso-width-relative:page;mso-height-relative:page;" stroked="t" coordsize="21600,21600">
            <v:path arrowok="t"/>
            <v:fill focussize="0,0"/>
            <v:stroke weight="1pt" color="#FFFFFF"/>
            <v:imagedata o:title=""/>
            <o:lock v:ext="edit"/>
          </v:line>
        </w:pict>
      </w:r>
      <w:r>
        <w:pict>
          <v:shape id="fmFrame7" o:spid="_x0000_s1030" o:spt="202" type="#_x0000_t202" style="position:absolute;left:0pt;margin-left:0pt;margin-top:717.2pt;height:32.65pt;width:481.9pt;mso-position-horizontal-relative:margin;mso-position-vertical-relative:margin;z-index:251634688;mso-width-relative:page;mso-height-relative:page;" stroked="f" coordsize="21600,21600">
            <v:path/>
            <v:fill focussize="0,0"/>
            <v:stroke on="f" joinstyle="miter"/>
            <v:imagedata o:title=""/>
            <o:lock v:ext="edit"/>
            <v:textbox inset="0mm,0mm,0mm,0mm">
              <w:txbxContent>
                <w:p>
                  <w:pPr>
                    <w:pStyle w:val="100"/>
                    <w:rPr>
                      <w:sz w:val="32"/>
                      <w:szCs w:val="32"/>
                    </w:rPr>
                  </w:pPr>
                  <w:r>
                    <w:rPr>
                      <w:rFonts w:hint="eastAsia"/>
                      <w:sz w:val="32"/>
                      <w:szCs w:val="32"/>
                    </w:rPr>
                    <w:t xml:space="preserve">中华人民共和国农业农村部 </w:t>
                  </w:r>
                  <w:r>
                    <w:rPr>
                      <w:rStyle w:val="71"/>
                      <w:rFonts w:hint="eastAsia"/>
                      <w:szCs w:val="28"/>
                    </w:rPr>
                    <w:t>发布</w:t>
                  </w:r>
                </w:p>
              </w:txbxContent>
            </v:textbox>
            <w10:anchorlock/>
          </v:shape>
        </w:pict>
      </w:r>
      <w:r>
        <w:pict>
          <v:shape id="fmFrame6" o:spid="_x0000_s1031" o:spt="202" type="#_x0000_t202" style="position:absolute;left:0pt;margin-left:322.9pt;margin-top:674.3pt;height:24.6pt;width:159pt;mso-position-horizontal-relative:margin;mso-position-vertical-relative:margin;z-index:251633664;mso-width-relative:page;mso-height-relative:page;" stroked="f" coordsize="21600,21600">
            <v:path/>
            <v:fill focussize="0,0"/>
            <v:stroke on="f" joinstyle="miter"/>
            <v:imagedata o:title=""/>
            <o:lock v:ext="edit"/>
            <v:textbox inset="0mm,0mm,0mm,0mm">
              <w:txbxContent>
                <w:p>
                  <w:pPr>
                    <w:pStyle w:val="103"/>
                    <w:rPr>
                      <w:rFonts w:ascii="黑体"/>
                    </w:rPr>
                  </w:pPr>
                  <w:r>
                    <w:rPr>
                      <w:rFonts w:hint="eastAsia" w:ascii="黑体"/>
                    </w:rPr>
                    <w:t>XXXX</w:t>
                  </w:r>
                  <w:r>
                    <w:rPr>
                      <w:rFonts w:ascii="黑体"/>
                    </w:rPr>
                    <w:t>-</w:t>
                  </w:r>
                  <w:r>
                    <w:rPr>
                      <w:rFonts w:hint="eastAsia" w:ascii="黑体"/>
                    </w:rPr>
                    <w:t>XX</w:t>
                  </w:r>
                  <w:r>
                    <w:rPr>
                      <w:rFonts w:ascii="黑体"/>
                    </w:rPr>
                    <w:t>-</w:t>
                  </w:r>
                  <w:r>
                    <w:rPr>
                      <w:rFonts w:hint="eastAsia" w:ascii="黑体"/>
                    </w:rPr>
                    <w:t>XX实施</w:t>
                  </w:r>
                </w:p>
              </w:txbxContent>
            </v:textbox>
            <w10:anchorlock/>
          </v:shape>
        </w:pict>
      </w:r>
      <w:r>
        <w:pict>
          <v:shape id="fmFrame5" o:spid="_x0000_s1032" o:spt="202" type="#_x0000_t202" style="position:absolute;left:0pt;margin-left:0pt;margin-top:674.3pt;height:24.6pt;width:159pt;mso-position-horizontal-relative:margin;mso-position-vertical-relative:margin;z-index:251632640;mso-width-relative:page;mso-height-relative:page;" stroked="f" coordsize="21600,21600">
            <v:path/>
            <v:fill focussize="0,0"/>
            <v:stroke on="f" joinstyle="miter"/>
            <v:imagedata o:title=""/>
            <o:lock v:ext="edit"/>
            <v:textbox inset="0mm,0mm,0mm,0mm">
              <w:txbxContent>
                <w:p>
                  <w:pPr>
                    <w:pStyle w:val="73"/>
                    <w:rPr>
                      <w:rFonts w:ascii="黑体"/>
                    </w:rPr>
                  </w:pPr>
                  <w:r>
                    <w:rPr>
                      <w:rFonts w:hint="eastAsia" w:ascii="黑体"/>
                    </w:rPr>
                    <w:t>XXXX</w:t>
                  </w:r>
                  <w:r>
                    <w:rPr>
                      <w:rFonts w:ascii="黑体"/>
                    </w:rPr>
                    <w:t>-</w:t>
                  </w:r>
                  <w:r>
                    <w:rPr>
                      <w:rFonts w:hint="eastAsia" w:ascii="黑体"/>
                    </w:rPr>
                    <w:t>XX</w:t>
                  </w:r>
                  <w:r>
                    <w:rPr>
                      <w:rFonts w:ascii="黑体"/>
                    </w:rPr>
                    <w:t>-</w:t>
                  </w:r>
                  <w:r>
                    <w:rPr>
                      <w:rFonts w:hint="eastAsia" w:ascii="黑体"/>
                    </w:rPr>
                    <w:t>XX发布</w:t>
                  </w:r>
                </w:p>
              </w:txbxContent>
            </v:textbox>
            <w10:anchorlock/>
          </v:shape>
        </w:pict>
      </w:r>
      <w:bookmarkStart w:id="185" w:name="_GoBack"/>
      <w:bookmarkEnd w:id="185"/>
      <w:r>
        <w:pict>
          <v:shape id="fmFrame4" o:spid="_x0000_s1033" o:spt="202" type="#_x0000_t202" style="position:absolute;left:0pt;margin-left:0pt;margin-top:286.25pt;height:368.6pt;width:470pt;mso-position-horizontal-relative:margin;mso-position-vertical-relative:margin;z-index:251631616;mso-width-relative:page;mso-height-relative:page;" stroked="f" coordsize="21600,21600">
            <v:path/>
            <v:fill focussize="0,0"/>
            <v:stroke on="f" joinstyle="miter"/>
            <v:imagedata o:title=""/>
            <o:lock v:ext="edit"/>
            <v:textbox inset="0mm,0mm,0mm,0mm">
              <w:txbxContent>
                <w:p>
                  <w:pPr>
                    <w:jc w:val="center"/>
                    <w:rPr>
                      <w:rFonts w:eastAsia="黑体"/>
                      <w:sz w:val="52"/>
                    </w:rPr>
                  </w:pPr>
                  <w:r>
                    <w:rPr>
                      <w:rFonts w:hint="eastAsia" w:eastAsia="黑体"/>
                      <w:sz w:val="52"/>
                    </w:rPr>
                    <w:t>葵花籽收获机</w:t>
                  </w:r>
                </w:p>
                <w:p>
                  <w:pPr>
                    <w:pStyle w:val="77"/>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（征求意见稿）</w:t>
                  </w:r>
                </w:p>
                <w:p>
                  <w:pPr>
                    <w:pStyle w:val="77"/>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刘波</w:t>
                  </w:r>
                </w:p>
                <w:p>
                  <w:pPr>
                    <w:pStyle w:val="77"/>
                    <w:rPr>
                      <w:rFonts w:hint="eastAsia" w:asciiTheme="minorEastAsia" w:hAnsiTheme="minorEastAsia" w:eastAsiaTheme="minorEastAsia"/>
                      <w:sz w:val="28"/>
                      <w:szCs w:val="28"/>
                    </w:rPr>
                  </w:pPr>
                  <w:r>
                    <w:rPr>
                      <w:rFonts w:hint="eastAsia" w:asciiTheme="minorEastAsia" w:hAnsiTheme="minorEastAsia" w:eastAsiaTheme="minorEastAsia"/>
                      <w:sz w:val="28"/>
                      <w:szCs w:val="28"/>
                    </w:rPr>
                    <w:t>0471-5103643/18047168870</w:t>
                  </w:r>
                </w:p>
                <w:p>
                  <w:pPr>
                    <w:pStyle w:val="77"/>
                    <w:frame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nmgjdzny@126.com</w:t>
                  </w:r>
                </w:p>
                <w:p>
                  <w:pPr>
                    <w:pStyle w:val="80"/>
                  </w:pPr>
                </w:p>
                <w:p>
                  <w:pPr>
                    <w:pStyle w:val="81"/>
                  </w:pPr>
                </w:p>
                <w:p>
                  <w:pPr>
                    <w:pStyle w:val="79"/>
                  </w:pPr>
                </w:p>
                <w:p>
                  <w:pPr>
                    <w:pStyle w:val="78"/>
                  </w:pPr>
                </w:p>
              </w:txbxContent>
            </v:textbox>
            <w10:anchorlock/>
          </v:shape>
        </w:pict>
      </w:r>
      <w:r>
        <w:pict>
          <v:shape id="fmFrame3" o:spid="_x0000_s1034" o:spt="202" type="#_x0000_t202" style="position:absolute;left:0pt;margin-left:297.15pt;margin-top:120.75pt;height:57.6pt;width:223.9pt;mso-position-horizontal-relative:margin;mso-position-vertical-relative:margin;z-index:251630592;mso-width-relative:page;mso-height-relative:page;" stroked="f" coordsize="21600,21600">
            <v:path/>
            <v:fill focussize="0,0"/>
            <v:stroke on="f" joinstyle="miter"/>
            <v:imagedata o:title=""/>
            <o:lock v:ext="edit"/>
            <v:textbox inset="0mm,0mm,0mm,0mm">
              <w:txbxContent>
                <w:p>
                  <w:pPr>
                    <w:pStyle w:val="74"/>
                    <w:spacing w:before="0" w:line="500" w:lineRule="exact"/>
                    <w:ind w:right="1120"/>
                    <w:jc w:val="both"/>
                    <w:rPr>
                      <w:rFonts w:ascii="黑体" w:hAnsi="宋体" w:eastAsia="黑体"/>
                      <w:szCs w:val="28"/>
                    </w:rPr>
                  </w:pPr>
                </w:p>
                <w:p>
                  <w:pPr>
                    <w:pStyle w:val="74"/>
                    <w:spacing w:before="0" w:line="300" w:lineRule="exact"/>
                    <w:ind w:firstLine="1820" w:firstLineChars="650"/>
                    <w:jc w:val="both"/>
                    <w:rPr>
                      <w:rFonts w:ascii="黑体" w:hAnsi="宋体" w:eastAsia="黑体"/>
                      <w:szCs w:val="28"/>
                    </w:rPr>
                  </w:pPr>
                  <w:r>
                    <w:rPr>
                      <w:rFonts w:ascii="黑体" w:hAnsi="宋体" w:eastAsia="黑体"/>
                      <w:szCs w:val="28"/>
                    </w:rPr>
                    <w:t>DG</w:t>
                  </w:r>
                  <w:r>
                    <w:rPr>
                      <w:rFonts w:hint="eastAsia" w:ascii="黑体" w:hAnsi="宋体" w:eastAsia="黑体"/>
                      <w:szCs w:val="28"/>
                    </w:rPr>
                    <w:t>/</w:t>
                  </w:r>
                  <w:r>
                    <w:rPr>
                      <w:rFonts w:ascii="黑体" w:hAnsi="宋体" w:eastAsia="黑体"/>
                      <w:szCs w:val="28"/>
                    </w:rPr>
                    <w:t xml:space="preserve">T </w:t>
                  </w:r>
                  <w:r>
                    <w:rPr>
                      <w:rFonts w:hint="eastAsia" w:ascii="黑体" w:hAnsi="宋体" w:eastAsia="黑体"/>
                      <w:szCs w:val="28"/>
                    </w:rPr>
                    <w:t>XXX-XXXX</w:t>
                  </w:r>
                </w:p>
                <w:p>
                  <w:pPr>
                    <w:pStyle w:val="74"/>
                    <w:spacing w:before="0" w:line="500" w:lineRule="exact"/>
                    <w:rPr>
                      <w:rFonts w:ascii="黑体" w:eastAsia="黑体"/>
                    </w:rPr>
                  </w:pPr>
                </w:p>
                <w:p>
                  <w:pPr>
                    <w:pStyle w:val="74"/>
                    <w:spacing w:before="0" w:line="500" w:lineRule="exact"/>
                    <w:rPr>
                      <w:rFonts w:ascii="黑体" w:eastAsia="黑体"/>
                    </w:rPr>
                  </w:pPr>
                </w:p>
                <w:p>
                  <w:pPr>
                    <w:pStyle w:val="74"/>
                    <w:spacing w:before="0" w:line="500" w:lineRule="exact"/>
                    <w:rPr>
                      <w:rFonts w:ascii="黑体" w:eastAsia="黑体"/>
                    </w:rPr>
                  </w:pPr>
                </w:p>
                <w:p>
                  <w:pPr>
                    <w:pStyle w:val="74"/>
                    <w:spacing w:before="0" w:line="500" w:lineRule="exact"/>
                    <w:rPr>
                      <w:rFonts w:ascii="黑体" w:eastAsia="黑体"/>
                    </w:rPr>
                  </w:pPr>
                </w:p>
                <w:p>
                  <w:pPr>
                    <w:pStyle w:val="74"/>
                    <w:spacing w:before="0" w:line="500" w:lineRule="exact"/>
                    <w:rPr>
                      <w:rFonts w:ascii="黑体" w:eastAsia="黑体"/>
                    </w:rPr>
                  </w:pPr>
                </w:p>
                <w:p>
                  <w:pPr>
                    <w:pStyle w:val="74"/>
                    <w:spacing w:before="0" w:line="500" w:lineRule="exact"/>
                    <w:rPr>
                      <w:rFonts w:ascii="黑体" w:eastAsia="黑体"/>
                    </w:rPr>
                  </w:pPr>
                </w:p>
                <w:p>
                  <w:pPr>
                    <w:pStyle w:val="74"/>
                    <w:spacing w:before="0" w:line="500" w:lineRule="exact"/>
                    <w:rPr>
                      <w:rFonts w:ascii="黑体" w:eastAsia="黑体"/>
                    </w:rPr>
                  </w:pPr>
                </w:p>
                <w:p>
                  <w:pPr>
                    <w:pStyle w:val="74"/>
                    <w:spacing w:before="0" w:line="500" w:lineRule="exact"/>
                    <w:rPr>
                      <w:rFonts w:ascii="黑体" w:eastAsia="黑体"/>
                    </w:rPr>
                  </w:pPr>
                </w:p>
              </w:txbxContent>
            </v:textbox>
            <w10:anchorlock/>
          </v:shape>
        </w:pict>
      </w:r>
      <w:r>
        <w:pict>
          <v:shape id="fmFrame8" o:spid="_x0000_s1035" o:spt="202" type="#_x0000_t202" style="position:absolute;left:0pt;margin-left:200.75pt;margin-top:8.45pt;height:7.75pt;width:250pt;mso-position-horizontal-relative:margin;mso-position-vertical-relative:margin;z-index:251629568;mso-width-relative:page;mso-height-relative:page;" stroked="f" coordsize="21600,21600">
            <v:path/>
            <v:fill focussize="0,0"/>
            <v:stroke on="f" joinstyle="miter"/>
            <v:imagedata o:title=""/>
            <o:lock v:ext="edit"/>
            <v:textbox inset="0mm,0mm,0mm,0mm">
              <w:txbxContent>
                <w:p>
                  <w:pPr>
                    <w:pStyle w:val="57"/>
                  </w:pPr>
                </w:p>
              </w:txbxContent>
            </v:textbox>
            <w10:anchorlock/>
          </v:shape>
        </w:pict>
      </w:r>
      <w:r>
        <w:pict>
          <v:shape id="fmFrame2" o:spid="_x0000_s1036" o:spt="202" type="#_x0000_t202" style="position:absolute;left:0pt;margin-left:0pt;margin-top:79.6pt;height:41.15pt;width:481.9pt;mso-position-horizontal-relative:margin;mso-position-vertical-relative:margin;z-index:251628544;mso-width-relative:page;mso-height-relative:page;" stroked="f" coordsize="21600,21600">
            <v:path/>
            <v:fill focussize="0,0"/>
            <v:stroke on="f" joinstyle="miter"/>
            <v:imagedata o:title=""/>
            <o:lock v:ext="edit"/>
            <v:textbox inset="0mm,0mm,0mm,0mm">
              <w:txbxContent>
                <w:p>
                  <w:pPr>
                    <w:pStyle w:val="99"/>
                  </w:pPr>
                  <w:r>
                    <w:rPr>
                      <w:rFonts w:hint="eastAsia"/>
                    </w:rPr>
                    <w:t>农业机械推广鉴定大纲</w:t>
                  </w:r>
                </w:p>
                <w:p>
                  <w:pPr>
                    <w:pStyle w:val="99"/>
                  </w:pPr>
                </w:p>
                <w:p>
                  <w:pPr>
                    <w:pStyle w:val="99"/>
                  </w:pPr>
                </w:p>
                <w:p>
                  <w:pPr>
                    <w:pStyle w:val="99"/>
                  </w:pPr>
                </w:p>
                <w:p>
                  <w:pPr>
                    <w:pStyle w:val="99"/>
                  </w:pPr>
                </w:p>
                <w:p>
                  <w:pPr>
                    <w:pStyle w:val="99"/>
                  </w:pPr>
                </w:p>
              </w:txbxContent>
            </v:textbox>
            <w10:anchorlock/>
          </v:shape>
        </w:pict>
      </w:r>
      <w:r>
        <w:pict>
          <v:shape id="fmFrame1" o:spid="_x0000_s1037" o:spt="202" type="#_x0000_t202" style="position:absolute;left:0pt;margin-left:0pt;margin-top:0pt;height:23.4pt;width:200pt;mso-position-horizontal-relative:margin;mso-position-vertical-relative:margin;z-index:251627520;mso-width-relative:page;mso-height-relative:page;" stroked="f" coordsize="21600,21600">
            <v:path/>
            <v:fill focussize="0,0"/>
            <v:stroke on="f" joinstyle="miter"/>
            <v:imagedata o:title=""/>
            <o:lock v:ext="edit"/>
            <v:textbox inset="0mm,0mm,0mm,0mm">
              <w:txbxContent>
                <w:p>
                  <w:pPr>
                    <w:pStyle w:val="110"/>
                  </w:pPr>
                </w:p>
              </w:txbxContent>
            </v:textbox>
            <w10:anchorlock/>
          </v:shape>
        </w:pict>
      </w:r>
    </w:p>
    <w:bookmarkEnd w:id="0"/>
    <w:p>
      <w:pPr>
        <w:pStyle w:val="97"/>
        <w:widowControl w:val="0"/>
        <w:jc w:val="both"/>
      </w:pPr>
      <w:bookmarkStart w:id="1" w:name="SectionMark1"/>
    </w:p>
    <w:p>
      <w:pPr>
        <w:pStyle w:val="97"/>
        <w:widowControl w:val="0"/>
        <w:ind w:left="210" w:leftChars="100"/>
      </w:pPr>
      <w:r>
        <w:rPr>
          <w:rFonts w:hint="eastAsia"/>
        </w:rPr>
        <w:t>目次</w:t>
      </w:r>
    </w:p>
    <w:p>
      <w:pPr>
        <w:pStyle w:val="14"/>
        <w:tabs>
          <w:tab w:val="right" w:leader="dot" w:pos="9345"/>
        </w:tabs>
        <w:rPr>
          <w:rFonts w:hAnsi="宋体"/>
        </w:rPr>
      </w:pPr>
      <w:r>
        <w:rPr>
          <w:rFonts w:hint="eastAsia" w:hAnsi="宋体"/>
        </w:rPr>
        <w:t>前言</w:t>
      </w:r>
      <w:r>
        <w:rPr>
          <w:rFonts w:hAnsi="宋体"/>
        </w:rPr>
        <w:tab/>
      </w:r>
      <w:r>
        <w:rPr>
          <w:rFonts w:hint="eastAsia" w:hAnsi="宋体"/>
        </w:rPr>
        <w:t>Ⅱ</w:t>
      </w:r>
      <w:r>
        <w:rPr>
          <w:rFonts w:hAnsi="宋体"/>
        </w:rPr>
        <w:fldChar w:fldCharType="begin"/>
      </w:r>
      <w:r>
        <w:rPr>
          <w:rFonts w:hAnsi="宋体"/>
        </w:rPr>
        <w:instrText xml:space="preserve"> TOC \f \h \t "</w:instrText>
      </w:r>
      <w:r>
        <w:rPr>
          <w:rFonts w:hint="eastAsia" w:hAnsi="宋体"/>
        </w:rPr>
        <w:instrText xml:space="preserve">前言、引言标题</w:instrText>
      </w:r>
      <w:r>
        <w:rPr>
          <w:rFonts w:hAnsi="宋体"/>
        </w:rPr>
        <w:instrText xml:space="preserve">,</w:instrText>
      </w:r>
      <w:r>
        <w:rPr>
          <w:rFonts w:hint="eastAsia" w:hAnsi="宋体"/>
        </w:rPr>
        <w:instrText xml:space="preserve">附录标识</w:instrText>
      </w:r>
      <w:r>
        <w:rPr>
          <w:rFonts w:hAnsi="宋体"/>
        </w:rPr>
        <w:instrText xml:space="preserve">,</w:instrText>
      </w:r>
      <w:r>
        <w:rPr>
          <w:rFonts w:hint="eastAsia" w:hAnsi="宋体"/>
        </w:rPr>
        <w:instrText xml:space="preserve">参考文献、索引标题</w:instrText>
      </w:r>
      <w:r>
        <w:rPr>
          <w:rFonts w:hAnsi="宋体"/>
        </w:rPr>
        <w:instrText xml:space="preserve">,</w:instrText>
      </w:r>
      <w:r>
        <w:rPr>
          <w:rFonts w:hint="eastAsia" w:hAnsi="宋体"/>
        </w:rPr>
        <w:instrText xml:space="preserve">章标题</w:instrText>
      </w:r>
      <w:r>
        <w:rPr>
          <w:rFonts w:hAnsi="宋体"/>
        </w:rPr>
        <w:instrText xml:space="preserve">,</w:instrText>
      </w:r>
      <w:r>
        <w:rPr>
          <w:rFonts w:hint="eastAsia" w:hAnsi="宋体"/>
        </w:rPr>
        <w:instrText xml:space="preserve">附录章标题</w:instrText>
      </w:r>
      <w:r>
        <w:rPr>
          <w:rFonts w:hAnsi="宋体"/>
        </w:rPr>
        <w:instrText xml:space="preserve">,</w:instrText>
      </w:r>
      <w:r>
        <w:rPr>
          <w:rFonts w:hint="eastAsia" w:hAnsi="宋体"/>
        </w:rPr>
        <w:instrText xml:space="preserve">一级条标题</w:instrText>
      </w:r>
      <w:r>
        <w:rPr>
          <w:rFonts w:hAnsi="宋体"/>
        </w:rPr>
        <w:instrText xml:space="preserve">,</w:instrText>
      </w:r>
      <w:r>
        <w:rPr>
          <w:rFonts w:hint="eastAsia" w:hAnsi="宋体"/>
        </w:rPr>
        <w:instrText xml:space="preserve">附录一级条标题</w:instrText>
      </w:r>
      <w:r>
        <w:rPr>
          <w:rFonts w:hAnsi="宋体"/>
        </w:rPr>
        <w:instrText xml:space="preserve">,</w:instrText>
      </w:r>
      <w:r>
        <w:rPr>
          <w:rFonts w:hint="eastAsia" w:hAnsi="宋体"/>
        </w:rPr>
        <w:instrText xml:space="preserve">二级条标题</w:instrText>
      </w:r>
      <w:r>
        <w:rPr>
          <w:rFonts w:hAnsi="宋体"/>
        </w:rPr>
        <w:instrText xml:space="preserve">,</w:instrText>
      </w:r>
      <w:r>
        <w:rPr>
          <w:rFonts w:hint="eastAsia" w:hAnsi="宋体"/>
        </w:rPr>
        <w:instrText xml:space="preserve">附录二级条标题</w:instrText>
      </w:r>
      <w:r>
        <w:rPr>
          <w:rFonts w:hAnsi="宋体"/>
        </w:rPr>
        <w:instrText xml:space="preserve">,</w:instrText>
      </w:r>
      <w:r>
        <w:rPr>
          <w:rFonts w:hint="eastAsia" w:hAnsi="宋体"/>
        </w:rPr>
        <w:instrText xml:space="preserve">三级条标题</w:instrText>
      </w:r>
      <w:r>
        <w:rPr>
          <w:rFonts w:hAnsi="宋体"/>
        </w:rPr>
        <w:instrText xml:space="preserve">,</w:instrText>
      </w:r>
      <w:r>
        <w:rPr>
          <w:rFonts w:hint="eastAsia" w:hAnsi="宋体"/>
        </w:rPr>
        <w:instrText xml:space="preserve">附录三级条标题</w:instrText>
      </w:r>
      <w:r>
        <w:rPr>
          <w:rFonts w:hAnsi="宋体"/>
        </w:rPr>
        <w:instrText xml:space="preserve">,</w:instrText>
      </w:r>
      <w:r>
        <w:rPr>
          <w:rFonts w:hint="eastAsia" w:hAnsi="宋体"/>
        </w:rPr>
        <w:instrText xml:space="preserve">四级条标题</w:instrText>
      </w:r>
      <w:r>
        <w:rPr>
          <w:rFonts w:hAnsi="宋体"/>
        </w:rPr>
        <w:instrText xml:space="preserve">,</w:instrText>
      </w:r>
      <w:r>
        <w:rPr>
          <w:rFonts w:hint="eastAsia" w:hAnsi="宋体"/>
        </w:rPr>
        <w:instrText xml:space="preserve">附录四级条标题</w:instrText>
      </w:r>
      <w:r>
        <w:rPr>
          <w:rFonts w:hAnsi="宋体"/>
        </w:rPr>
        <w:instrText xml:space="preserve">" </w:instrText>
      </w:r>
      <w:r>
        <w:rPr>
          <w:rFonts w:hAnsi="宋体"/>
        </w:rPr>
        <w:fldChar w:fldCharType="separate"/>
      </w:r>
    </w:p>
    <w:p>
      <w:pPr>
        <w:pStyle w:val="14"/>
        <w:tabs>
          <w:tab w:val="right" w:leader="dot" w:pos="9345"/>
        </w:tabs>
        <w:rPr>
          <w:rFonts w:hAnsi="宋体"/>
          <w:kern w:val="2"/>
          <w:szCs w:val="22"/>
        </w:rPr>
      </w:pPr>
      <w:r>
        <w:fldChar w:fldCharType="begin"/>
      </w:r>
      <w:r>
        <w:instrText xml:space="preserve"> HYPERLINK \l "_Toc455493755" </w:instrText>
      </w:r>
      <w:r>
        <w:fldChar w:fldCharType="separate"/>
      </w:r>
      <w:r>
        <w:rPr>
          <w:rStyle w:val="38"/>
          <w:rFonts w:ascii="宋体" w:hAnsi="宋体"/>
          <w:kern w:val="21"/>
        </w:rPr>
        <w:t>1</w:t>
      </w:r>
      <w:r>
        <w:rPr>
          <w:rStyle w:val="38"/>
          <w:rFonts w:hint="eastAsia" w:ascii="宋体" w:hAnsi="宋体"/>
        </w:rPr>
        <w:t>范围</w:t>
      </w:r>
      <w:r>
        <w:rPr>
          <w:rFonts w:hAnsi="宋体"/>
        </w:rPr>
        <w:tab/>
      </w:r>
      <w:r>
        <w:rPr>
          <w:rFonts w:hAnsi="宋体"/>
        </w:rPr>
        <w:fldChar w:fldCharType="begin"/>
      </w:r>
      <w:r>
        <w:rPr>
          <w:rFonts w:hAnsi="宋体"/>
        </w:rPr>
        <w:instrText xml:space="preserve"> PAGEREF _Toc455493755 \h </w:instrText>
      </w:r>
      <w:r>
        <w:rPr>
          <w:rFonts w:hAnsi="宋体"/>
        </w:rPr>
        <w:fldChar w:fldCharType="separate"/>
      </w:r>
      <w:r>
        <w:rPr>
          <w:rFonts w:hAnsi="宋体"/>
        </w:rPr>
        <w:t>1</w:t>
      </w:r>
      <w:r>
        <w:rPr>
          <w:rFonts w:hAnsi="宋体"/>
        </w:rPr>
        <w:fldChar w:fldCharType="end"/>
      </w:r>
      <w:r>
        <w:rPr>
          <w:rFonts w:hAnsi="宋体"/>
        </w:rPr>
        <w:fldChar w:fldCharType="end"/>
      </w:r>
    </w:p>
    <w:p>
      <w:pPr>
        <w:pStyle w:val="14"/>
        <w:tabs>
          <w:tab w:val="right" w:leader="dot" w:pos="9345"/>
        </w:tabs>
      </w:pPr>
      <w:r>
        <w:fldChar w:fldCharType="begin"/>
      </w:r>
      <w:r>
        <w:instrText xml:space="preserve"> HYPERLINK \l "_Toc455493756" </w:instrText>
      </w:r>
      <w:r>
        <w:fldChar w:fldCharType="separate"/>
      </w:r>
      <w:r>
        <w:rPr>
          <w:rStyle w:val="38"/>
          <w:rFonts w:ascii="宋体" w:hAnsi="宋体"/>
          <w:kern w:val="21"/>
        </w:rPr>
        <w:t>2</w:t>
      </w:r>
      <w:r>
        <w:rPr>
          <w:rStyle w:val="38"/>
          <w:rFonts w:hint="eastAsia" w:ascii="宋体" w:hAnsi="宋体"/>
        </w:rPr>
        <w:t>规范性引用文件</w:t>
      </w:r>
      <w:r>
        <w:rPr>
          <w:rFonts w:hAnsi="宋体"/>
        </w:rPr>
        <w:tab/>
      </w:r>
      <w:r>
        <w:rPr>
          <w:rFonts w:hAnsi="宋体"/>
        </w:rPr>
        <w:fldChar w:fldCharType="begin"/>
      </w:r>
      <w:r>
        <w:rPr>
          <w:rFonts w:hAnsi="宋体"/>
        </w:rPr>
        <w:instrText xml:space="preserve"> PAGEREF _Toc455493756 \h </w:instrText>
      </w:r>
      <w:r>
        <w:rPr>
          <w:rFonts w:hAnsi="宋体"/>
        </w:rPr>
        <w:fldChar w:fldCharType="separate"/>
      </w:r>
      <w:r>
        <w:rPr>
          <w:rFonts w:hAnsi="宋体"/>
        </w:rPr>
        <w:t>1</w:t>
      </w:r>
      <w:r>
        <w:rPr>
          <w:rFonts w:hAnsi="宋体"/>
        </w:rPr>
        <w:fldChar w:fldCharType="end"/>
      </w:r>
      <w:r>
        <w:rPr>
          <w:rFonts w:hAnsi="宋体"/>
        </w:rPr>
        <w:fldChar w:fldCharType="end"/>
      </w:r>
    </w:p>
    <w:p>
      <w:pPr>
        <w:pStyle w:val="14"/>
        <w:tabs>
          <w:tab w:val="right" w:leader="dot" w:pos="9345"/>
        </w:tabs>
        <w:rPr>
          <w:rFonts w:hAnsi="宋体"/>
          <w:kern w:val="2"/>
          <w:szCs w:val="22"/>
        </w:rPr>
      </w:pPr>
      <w:r>
        <w:fldChar w:fldCharType="begin"/>
      </w:r>
      <w:r>
        <w:instrText xml:space="preserve"> HYPERLINK \l "_Toc455493758" </w:instrText>
      </w:r>
      <w:r>
        <w:fldChar w:fldCharType="separate"/>
      </w:r>
      <w:r>
        <w:rPr>
          <w:rStyle w:val="38"/>
          <w:rFonts w:hint="eastAsia" w:ascii="宋体" w:hAnsi="宋体"/>
          <w:kern w:val="21"/>
        </w:rPr>
        <w:t>3</w:t>
      </w:r>
      <w:r>
        <w:rPr>
          <w:rStyle w:val="38"/>
          <w:rFonts w:hint="eastAsia" w:ascii="宋体" w:hAnsi="宋体"/>
        </w:rPr>
        <w:t>术语和定义</w:t>
      </w:r>
      <w:r>
        <w:rPr>
          <w:rFonts w:hAnsi="宋体"/>
        </w:rPr>
        <w:tab/>
      </w:r>
      <w:r>
        <w:rPr>
          <w:rFonts w:hint="eastAsia" w:hAnsi="宋体"/>
        </w:rPr>
        <w:t>2</w:t>
      </w:r>
      <w:r>
        <w:rPr>
          <w:rFonts w:hint="eastAsia" w:hAnsi="宋体"/>
        </w:rPr>
        <w:fldChar w:fldCharType="end"/>
      </w:r>
    </w:p>
    <w:p>
      <w:pPr>
        <w:pStyle w:val="14"/>
        <w:tabs>
          <w:tab w:val="right" w:leader="dot" w:pos="9345"/>
        </w:tabs>
        <w:rPr>
          <w:rFonts w:hAnsi="宋体"/>
          <w:kern w:val="2"/>
          <w:szCs w:val="22"/>
        </w:rPr>
      </w:pPr>
      <w:r>
        <w:fldChar w:fldCharType="begin"/>
      </w:r>
      <w:r>
        <w:instrText xml:space="preserve"> HYPERLINK \l "_Toc455493758" </w:instrText>
      </w:r>
      <w:r>
        <w:fldChar w:fldCharType="separate"/>
      </w:r>
      <w:r>
        <w:rPr>
          <w:rStyle w:val="38"/>
          <w:rFonts w:hint="eastAsia" w:ascii="宋体" w:hAnsi="宋体"/>
          <w:kern w:val="21"/>
        </w:rPr>
        <w:t>4</w:t>
      </w:r>
      <w:r>
        <w:rPr>
          <w:rStyle w:val="38"/>
          <w:rFonts w:hint="eastAsia" w:ascii="宋体" w:hAnsi="宋体"/>
        </w:rPr>
        <w:t>基本要求</w:t>
      </w:r>
      <w:r>
        <w:rPr>
          <w:rFonts w:hAnsi="宋体"/>
        </w:rPr>
        <w:tab/>
      </w:r>
      <w:r>
        <w:rPr>
          <w:rFonts w:hAnsi="宋体"/>
        </w:rPr>
        <w:fldChar w:fldCharType="begin"/>
      </w:r>
      <w:r>
        <w:rPr>
          <w:rFonts w:hAnsi="宋体"/>
        </w:rPr>
        <w:instrText xml:space="preserve"> PAGEREF _Toc455493758 \h </w:instrText>
      </w:r>
      <w:r>
        <w:rPr>
          <w:rFonts w:hAnsi="宋体"/>
        </w:rPr>
        <w:fldChar w:fldCharType="separate"/>
      </w:r>
      <w:r>
        <w:rPr>
          <w:rFonts w:hAnsi="宋体"/>
        </w:rPr>
        <w:t>2</w:t>
      </w:r>
      <w:r>
        <w:rPr>
          <w:rFonts w:hAnsi="宋体"/>
        </w:rPr>
        <w:fldChar w:fldCharType="end"/>
      </w:r>
      <w:r>
        <w:rPr>
          <w:rFonts w:hAnsi="宋体"/>
        </w:rPr>
        <w:fldChar w:fldCharType="end"/>
      </w:r>
    </w:p>
    <w:p>
      <w:pPr>
        <w:pStyle w:val="12"/>
        <w:rPr>
          <w:rFonts w:hAnsi="宋体"/>
          <w:kern w:val="2"/>
          <w:szCs w:val="22"/>
        </w:rPr>
      </w:pPr>
      <w:r>
        <w:fldChar w:fldCharType="begin"/>
      </w:r>
      <w:r>
        <w:instrText xml:space="preserve"> HYPERLINK \l "_Toc455493759" </w:instrText>
      </w:r>
      <w:r>
        <w:fldChar w:fldCharType="separate"/>
      </w:r>
      <w:r>
        <w:rPr>
          <w:rStyle w:val="38"/>
          <w:rFonts w:hint="eastAsia" w:ascii="宋体" w:hAnsi="宋体"/>
        </w:rPr>
        <w:t>4</w:t>
      </w:r>
      <w:r>
        <w:rPr>
          <w:rStyle w:val="38"/>
          <w:rFonts w:ascii="宋体" w:hAnsi="宋体"/>
        </w:rPr>
        <w:t>.1</w:t>
      </w:r>
      <w:r>
        <w:rPr>
          <w:rStyle w:val="38"/>
          <w:rFonts w:hint="eastAsia" w:ascii="宋体" w:hAnsi="宋体"/>
        </w:rPr>
        <w:t>需补充提供的文件资料</w:t>
      </w:r>
      <w:r>
        <w:rPr>
          <w:rFonts w:hAnsi="宋体"/>
        </w:rPr>
        <w:tab/>
      </w:r>
      <w:r>
        <w:rPr>
          <w:rFonts w:hAnsi="宋体"/>
        </w:rPr>
        <w:fldChar w:fldCharType="begin"/>
      </w:r>
      <w:r>
        <w:rPr>
          <w:rFonts w:hAnsi="宋体"/>
        </w:rPr>
        <w:instrText xml:space="preserve"> PAGEREF _Toc455493759 \h </w:instrText>
      </w:r>
      <w:r>
        <w:rPr>
          <w:rFonts w:hAnsi="宋体"/>
        </w:rPr>
        <w:fldChar w:fldCharType="separate"/>
      </w:r>
      <w:r>
        <w:rPr>
          <w:rFonts w:hAnsi="宋体"/>
        </w:rPr>
        <w:t>2</w:t>
      </w:r>
      <w:r>
        <w:rPr>
          <w:rFonts w:hAnsi="宋体"/>
        </w:rPr>
        <w:fldChar w:fldCharType="end"/>
      </w:r>
      <w:r>
        <w:rPr>
          <w:rFonts w:hAnsi="宋体"/>
        </w:rPr>
        <w:fldChar w:fldCharType="end"/>
      </w:r>
    </w:p>
    <w:p>
      <w:pPr>
        <w:pStyle w:val="12"/>
        <w:rPr>
          <w:rFonts w:hAnsi="宋体"/>
          <w:kern w:val="2"/>
          <w:szCs w:val="22"/>
        </w:rPr>
      </w:pPr>
      <w:r>
        <w:fldChar w:fldCharType="begin"/>
      </w:r>
      <w:r>
        <w:instrText xml:space="preserve"> HYPERLINK \l "_Toc455493760" </w:instrText>
      </w:r>
      <w:r>
        <w:fldChar w:fldCharType="separate"/>
      </w:r>
      <w:r>
        <w:rPr>
          <w:rStyle w:val="38"/>
          <w:rFonts w:hint="eastAsia" w:ascii="宋体" w:hAnsi="宋体"/>
        </w:rPr>
        <w:t>4</w:t>
      </w:r>
      <w:r>
        <w:rPr>
          <w:rStyle w:val="38"/>
          <w:rFonts w:ascii="宋体" w:hAnsi="宋体"/>
        </w:rPr>
        <w:t>.2</w:t>
      </w:r>
      <w:r>
        <w:rPr>
          <w:rStyle w:val="38"/>
          <w:rFonts w:hint="eastAsia" w:ascii="宋体" w:hAnsi="宋体"/>
        </w:rPr>
        <w:t>样机确定</w:t>
      </w:r>
      <w:r>
        <w:rPr>
          <w:rFonts w:hAnsi="宋体"/>
        </w:rPr>
        <w:tab/>
      </w:r>
      <w:r>
        <w:rPr>
          <w:rFonts w:hAnsi="宋体"/>
        </w:rPr>
        <w:fldChar w:fldCharType="begin"/>
      </w:r>
      <w:r>
        <w:rPr>
          <w:rFonts w:hAnsi="宋体"/>
        </w:rPr>
        <w:instrText xml:space="preserve"> PAGEREF _Toc455493760 \h </w:instrText>
      </w:r>
      <w:r>
        <w:rPr>
          <w:rFonts w:hAnsi="宋体"/>
        </w:rPr>
        <w:fldChar w:fldCharType="separate"/>
      </w:r>
      <w:r>
        <w:rPr>
          <w:rFonts w:hAnsi="宋体"/>
        </w:rPr>
        <w:t>2</w:t>
      </w:r>
      <w:r>
        <w:rPr>
          <w:rFonts w:hAnsi="宋体"/>
        </w:rPr>
        <w:fldChar w:fldCharType="end"/>
      </w:r>
      <w:r>
        <w:rPr>
          <w:rFonts w:hAnsi="宋体"/>
        </w:rPr>
        <w:fldChar w:fldCharType="end"/>
      </w:r>
    </w:p>
    <w:p>
      <w:pPr>
        <w:pStyle w:val="12"/>
        <w:rPr>
          <w:rFonts w:hAnsi="宋体"/>
          <w:kern w:val="2"/>
          <w:szCs w:val="22"/>
        </w:rPr>
      </w:pPr>
      <w:r>
        <w:fldChar w:fldCharType="begin"/>
      </w:r>
      <w:r>
        <w:instrText xml:space="preserve"> HYPERLINK \l "_Toc455493761" </w:instrText>
      </w:r>
      <w:r>
        <w:fldChar w:fldCharType="separate"/>
      </w:r>
      <w:r>
        <w:rPr>
          <w:rStyle w:val="38"/>
          <w:rFonts w:hint="eastAsia" w:ascii="宋体" w:hAnsi="宋体"/>
        </w:rPr>
        <w:t>4</w:t>
      </w:r>
      <w:r>
        <w:rPr>
          <w:rStyle w:val="38"/>
          <w:rFonts w:ascii="宋体" w:hAnsi="宋体"/>
        </w:rPr>
        <w:t>.3</w:t>
      </w:r>
      <w:r>
        <w:rPr>
          <w:rStyle w:val="38"/>
          <w:rFonts w:hint="eastAsia" w:ascii="宋体" w:hAnsi="宋体"/>
        </w:rPr>
        <w:t>生产量和销售量</w:t>
      </w:r>
      <w:r>
        <w:rPr>
          <w:rFonts w:hAnsi="宋体"/>
        </w:rPr>
        <w:tab/>
      </w:r>
      <w:r>
        <w:rPr>
          <w:rFonts w:hAnsi="宋体"/>
        </w:rPr>
        <w:fldChar w:fldCharType="begin"/>
      </w:r>
      <w:r>
        <w:rPr>
          <w:rFonts w:hAnsi="宋体"/>
        </w:rPr>
        <w:instrText xml:space="preserve"> PAGEREF _Toc455493761 \h </w:instrText>
      </w:r>
      <w:r>
        <w:rPr>
          <w:rFonts w:hAnsi="宋体"/>
        </w:rPr>
        <w:fldChar w:fldCharType="separate"/>
      </w:r>
      <w:r>
        <w:rPr>
          <w:rFonts w:hAnsi="宋体"/>
        </w:rPr>
        <w:t>2</w:t>
      </w:r>
      <w:r>
        <w:rPr>
          <w:rFonts w:hAnsi="宋体"/>
        </w:rPr>
        <w:fldChar w:fldCharType="end"/>
      </w:r>
      <w:r>
        <w:rPr>
          <w:rFonts w:hAnsi="宋体"/>
        </w:rPr>
        <w:fldChar w:fldCharType="end"/>
      </w:r>
    </w:p>
    <w:p>
      <w:pPr>
        <w:pStyle w:val="12"/>
      </w:pPr>
      <w:r>
        <w:fldChar w:fldCharType="begin"/>
      </w:r>
      <w:r>
        <w:instrText xml:space="preserve"> HYPERLINK \l "_Toc455493762" </w:instrText>
      </w:r>
      <w:r>
        <w:fldChar w:fldCharType="separate"/>
      </w:r>
      <w:r>
        <w:rPr>
          <w:rStyle w:val="38"/>
          <w:rFonts w:hint="eastAsia" w:ascii="宋体" w:hAnsi="宋体"/>
        </w:rPr>
        <w:t>4</w:t>
      </w:r>
      <w:r>
        <w:rPr>
          <w:rStyle w:val="38"/>
          <w:rFonts w:ascii="宋体" w:hAnsi="宋体"/>
        </w:rPr>
        <w:t>.</w:t>
      </w:r>
      <w:r>
        <w:rPr>
          <w:rStyle w:val="38"/>
          <w:rFonts w:hint="eastAsia" w:ascii="宋体" w:hAnsi="宋体"/>
        </w:rPr>
        <w:t>4</w:t>
      </w:r>
      <w:r>
        <w:rPr>
          <w:rFonts w:hint="eastAsia"/>
        </w:rPr>
        <w:t>参数准确度及仪器设备</w:t>
      </w:r>
      <w:r>
        <w:rPr>
          <w:rFonts w:hAnsi="宋体"/>
        </w:rPr>
        <w:tab/>
      </w:r>
      <w:r>
        <w:rPr>
          <w:rFonts w:hAnsi="宋体"/>
        </w:rPr>
        <w:fldChar w:fldCharType="begin"/>
      </w:r>
      <w:r>
        <w:rPr>
          <w:rFonts w:hAnsi="宋体"/>
        </w:rPr>
        <w:instrText xml:space="preserve"> PAGEREF _Toc455493762 \h </w:instrText>
      </w:r>
      <w:r>
        <w:rPr>
          <w:rFonts w:hAnsi="宋体"/>
        </w:rPr>
        <w:fldChar w:fldCharType="separate"/>
      </w:r>
      <w:r>
        <w:rPr>
          <w:rFonts w:hAnsi="宋体"/>
        </w:rPr>
        <w:t>2</w:t>
      </w:r>
      <w:r>
        <w:rPr>
          <w:rFonts w:hAnsi="宋体"/>
        </w:rPr>
        <w:fldChar w:fldCharType="end"/>
      </w:r>
      <w:r>
        <w:rPr>
          <w:rFonts w:hAnsi="宋体"/>
        </w:rPr>
        <w:fldChar w:fldCharType="end"/>
      </w:r>
    </w:p>
    <w:p>
      <w:pPr>
        <w:pStyle w:val="14"/>
        <w:tabs>
          <w:tab w:val="right" w:leader="dot" w:pos="9345"/>
        </w:tabs>
        <w:rPr>
          <w:rFonts w:hAnsi="宋体"/>
          <w:kern w:val="2"/>
          <w:szCs w:val="22"/>
        </w:rPr>
      </w:pPr>
      <w:r>
        <w:fldChar w:fldCharType="begin"/>
      </w:r>
      <w:r>
        <w:instrText xml:space="preserve"> HYPERLINK \l "_Toc455493763" </w:instrText>
      </w:r>
      <w:r>
        <w:fldChar w:fldCharType="separate"/>
      </w:r>
      <w:r>
        <w:rPr>
          <w:rStyle w:val="38"/>
          <w:rFonts w:hint="eastAsia" w:ascii="宋体" w:hAnsi="宋体"/>
          <w:kern w:val="21"/>
        </w:rPr>
        <w:t>5</w:t>
      </w:r>
      <w:r>
        <w:rPr>
          <w:rStyle w:val="38"/>
          <w:rFonts w:hint="eastAsia" w:ascii="宋体" w:hAnsi="宋体"/>
        </w:rPr>
        <w:t>初次鉴定</w:t>
      </w:r>
      <w:r>
        <w:rPr>
          <w:rFonts w:hAnsi="宋体"/>
        </w:rPr>
        <w:tab/>
      </w:r>
      <w:r>
        <w:rPr>
          <w:rFonts w:hint="eastAsia" w:hAnsi="宋体"/>
        </w:rPr>
        <w:t>2</w:t>
      </w:r>
      <w:r>
        <w:rPr>
          <w:rFonts w:hint="eastAsia" w:hAnsi="宋体"/>
        </w:rPr>
        <w:fldChar w:fldCharType="end"/>
      </w:r>
    </w:p>
    <w:p>
      <w:pPr>
        <w:pStyle w:val="12"/>
        <w:rPr>
          <w:rFonts w:hAnsi="宋体"/>
          <w:kern w:val="2"/>
          <w:szCs w:val="22"/>
        </w:rPr>
      </w:pPr>
      <w:r>
        <w:fldChar w:fldCharType="begin"/>
      </w:r>
      <w:r>
        <w:instrText xml:space="preserve"> HYPERLINK \l "_Toc455493764" </w:instrText>
      </w:r>
      <w:r>
        <w:fldChar w:fldCharType="separate"/>
      </w:r>
      <w:r>
        <w:rPr>
          <w:rStyle w:val="38"/>
          <w:rFonts w:hint="eastAsia" w:ascii="宋体" w:hAnsi="宋体"/>
        </w:rPr>
        <w:t>5</w:t>
      </w:r>
      <w:r>
        <w:rPr>
          <w:rStyle w:val="38"/>
          <w:rFonts w:ascii="宋体" w:hAnsi="宋体"/>
        </w:rPr>
        <w:t>.1</w:t>
      </w:r>
      <w:r>
        <w:rPr>
          <w:rStyle w:val="38"/>
          <w:rFonts w:hint="eastAsia" w:ascii="宋体" w:hAnsi="宋体"/>
        </w:rPr>
        <w:t>一致性检查</w:t>
      </w:r>
      <w:r>
        <w:rPr>
          <w:rFonts w:hAnsi="宋体"/>
        </w:rPr>
        <w:tab/>
      </w:r>
      <w:r>
        <w:rPr>
          <w:rFonts w:hint="eastAsia" w:hAnsi="宋体"/>
        </w:rPr>
        <w:t>2</w:t>
      </w:r>
      <w:r>
        <w:rPr>
          <w:rFonts w:hint="eastAsia" w:hAnsi="宋体"/>
        </w:rPr>
        <w:fldChar w:fldCharType="end"/>
      </w:r>
    </w:p>
    <w:p>
      <w:pPr>
        <w:pStyle w:val="12"/>
        <w:rPr>
          <w:rFonts w:hAnsi="宋体"/>
          <w:kern w:val="2"/>
          <w:szCs w:val="22"/>
        </w:rPr>
      </w:pPr>
      <w:r>
        <w:fldChar w:fldCharType="begin"/>
      </w:r>
      <w:r>
        <w:instrText xml:space="preserve"> HYPERLINK \l "_Toc455493769" </w:instrText>
      </w:r>
      <w:r>
        <w:fldChar w:fldCharType="separate"/>
      </w:r>
      <w:r>
        <w:rPr>
          <w:rStyle w:val="38"/>
          <w:rFonts w:hint="eastAsia" w:ascii="宋体" w:hAnsi="宋体"/>
        </w:rPr>
        <w:t>5</w:t>
      </w:r>
      <w:r>
        <w:rPr>
          <w:rStyle w:val="38"/>
          <w:rFonts w:ascii="宋体" w:hAnsi="宋体"/>
        </w:rPr>
        <w:t>.2</w:t>
      </w:r>
      <w:r>
        <w:rPr>
          <w:rStyle w:val="38"/>
          <w:rFonts w:hint="eastAsia" w:ascii="宋体" w:hAnsi="宋体"/>
        </w:rPr>
        <w:t>安全性评价</w:t>
      </w:r>
      <w:r>
        <w:rPr>
          <w:rFonts w:hAnsi="宋体"/>
        </w:rPr>
        <w:tab/>
      </w:r>
      <w:r>
        <w:rPr>
          <w:rFonts w:hint="eastAsia" w:hAnsi="宋体"/>
        </w:rPr>
        <w:t>3</w:t>
      </w:r>
      <w:r>
        <w:rPr>
          <w:rFonts w:hint="eastAsia" w:hAnsi="宋体"/>
        </w:rPr>
        <w:fldChar w:fldCharType="end"/>
      </w:r>
    </w:p>
    <w:p>
      <w:pPr>
        <w:pStyle w:val="12"/>
        <w:rPr>
          <w:rFonts w:hAnsi="宋体"/>
          <w:kern w:val="2"/>
          <w:szCs w:val="22"/>
        </w:rPr>
      </w:pPr>
      <w:r>
        <w:fldChar w:fldCharType="begin"/>
      </w:r>
      <w:r>
        <w:instrText xml:space="preserve"> HYPERLINK \l "_Toc455493775" </w:instrText>
      </w:r>
      <w:r>
        <w:fldChar w:fldCharType="separate"/>
      </w:r>
      <w:r>
        <w:rPr>
          <w:rStyle w:val="38"/>
          <w:rFonts w:hint="eastAsia" w:ascii="宋体" w:hAnsi="宋体"/>
        </w:rPr>
        <w:t>5</w:t>
      </w:r>
      <w:r>
        <w:rPr>
          <w:rStyle w:val="38"/>
          <w:rFonts w:ascii="宋体" w:hAnsi="宋体"/>
        </w:rPr>
        <w:t>.3</w:t>
      </w:r>
      <w:r>
        <w:rPr>
          <w:rStyle w:val="38"/>
          <w:rFonts w:hint="eastAsia" w:ascii="宋体" w:hAnsi="宋体"/>
        </w:rPr>
        <w:t>适用性评价</w:t>
      </w:r>
      <w:r>
        <w:rPr>
          <w:rFonts w:hAnsi="宋体"/>
        </w:rPr>
        <w:tab/>
      </w:r>
      <w:r>
        <w:rPr>
          <w:rFonts w:hint="eastAsia" w:hAnsi="宋体"/>
        </w:rPr>
        <w:t>4</w:t>
      </w:r>
      <w:r>
        <w:rPr>
          <w:rFonts w:hint="eastAsia" w:hAnsi="宋体"/>
        </w:rPr>
        <w:fldChar w:fldCharType="end"/>
      </w:r>
    </w:p>
    <w:p>
      <w:pPr>
        <w:pStyle w:val="12"/>
        <w:rPr>
          <w:rFonts w:hAnsi="宋体"/>
          <w:kern w:val="2"/>
          <w:szCs w:val="22"/>
        </w:rPr>
      </w:pPr>
      <w:r>
        <w:fldChar w:fldCharType="begin"/>
      </w:r>
      <w:r>
        <w:instrText xml:space="preserve"> HYPERLINK \l "_Toc455493785" </w:instrText>
      </w:r>
      <w:r>
        <w:fldChar w:fldCharType="separate"/>
      </w:r>
      <w:r>
        <w:rPr>
          <w:rStyle w:val="38"/>
          <w:rFonts w:hint="eastAsia" w:ascii="宋体" w:hAnsi="宋体"/>
        </w:rPr>
        <w:t>5</w:t>
      </w:r>
      <w:r>
        <w:rPr>
          <w:rStyle w:val="38"/>
          <w:rFonts w:ascii="宋体" w:hAnsi="宋体"/>
        </w:rPr>
        <w:t>.4</w:t>
      </w:r>
      <w:r>
        <w:rPr>
          <w:rStyle w:val="38"/>
          <w:rFonts w:hint="eastAsia" w:ascii="宋体" w:hAnsi="宋体"/>
        </w:rPr>
        <w:t>可靠性评价</w:t>
      </w:r>
      <w:r>
        <w:rPr>
          <w:rFonts w:hAnsi="宋体"/>
        </w:rPr>
        <w:tab/>
      </w:r>
      <w:r>
        <w:rPr>
          <w:rFonts w:hint="eastAsia" w:hAnsi="宋体"/>
        </w:rPr>
        <w:t>6</w:t>
      </w:r>
      <w:r>
        <w:rPr>
          <w:rFonts w:hint="eastAsia" w:hAnsi="宋体"/>
        </w:rPr>
        <w:fldChar w:fldCharType="end"/>
      </w:r>
    </w:p>
    <w:p>
      <w:pPr>
        <w:pStyle w:val="12"/>
        <w:rPr>
          <w:rFonts w:hAnsi="宋体"/>
          <w:kern w:val="2"/>
          <w:szCs w:val="22"/>
        </w:rPr>
      </w:pPr>
      <w:r>
        <w:fldChar w:fldCharType="begin"/>
      </w:r>
      <w:r>
        <w:instrText xml:space="preserve"> HYPERLINK \l "_Toc455493789" </w:instrText>
      </w:r>
      <w:r>
        <w:fldChar w:fldCharType="separate"/>
      </w:r>
      <w:r>
        <w:rPr>
          <w:rStyle w:val="38"/>
          <w:rFonts w:hint="eastAsia" w:ascii="宋体" w:hAnsi="宋体"/>
        </w:rPr>
        <w:t>5</w:t>
      </w:r>
      <w:r>
        <w:rPr>
          <w:rStyle w:val="38"/>
          <w:rFonts w:ascii="宋体" w:hAnsi="宋体"/>
        </w:rPr>
        <w:t>.5</w:t>
      </w:r>
      <w:r>
        <w:rPr>
          <w:rStyle w:val="38"/>
          <w:rFonts w:hint="eastAsia" w:ascii="宋体" w:hAnsi="宋体"/>
        </w:rPr>
        <w:t>综合判定规则</w:t>
      </w:r>
      <w:r>
        <w:rPr>
          <w:rFonts w:hAnsi="宋体"/>
        </w:rPr>
        <w:tab/>
      </w:r>
      <w:r>
        <w:rPr>
          <w:rFonts w:hint="eastAsia" w:hAnsi="宋体"/>
        </w:rPr>
        <w:t>7</w:t>
      </w:r>
      <w:r>
        <w:rPr>
          <w:rFonts w:hint="eastAsia" w:hAnsi="宋体"/>
        </w:rPr>
        <w:fldChar w:fldCharType="end"/>
      </w:r>
    </w:p>
    <w:p>
      <w:pPr>
        <w:pStyle w:val="14"/>
        <w:tabs>
          <w:tab w:val="right" w:leader="dot" w:pos="9345"/>
        </w:tabs>
        <w:rPr>
          <w:rFonts w:hAnsi="宋体"/>
          <w:kern w:val="2"/>
          <w:szCs w:val="22"/>
        </w:rPr>
      </w:pPr>
      <w:r>
        <w:fldChar w:fldCharType="begin"/>
      </w:r>
      <w:r>
        <w:instrText xml:space="preserve"> HYPERLINK \l "_Toc455493790" </w:instrText>
      </w:r>
      <w:r>
        <w:fldChar w:fldCharType="separate"/>
      </w:r>
      <w:r>
        <w:rPr>
          <w:rStyle w:val="38"/>
          <w:rFonts w:hint="eastAsia" w:ascii="宋体" w:hAnsi="宋体"/>
          <w:kern w:val="21"/>
        </w:rPr>
        <w:t>6</w:t>
      </w:r>
      <w:r>
        <w:rPr>
          <w:rStyle w:val="38"/>
          <w:rFonts w:hint="eastAsia" w:ascii="宋体" w:hAnsi="宋体"/>
        </w:rPr>
        <w:t>产品变更</w:t>
      </w:r>
      <w:r>
        <w:rPr>
          <w:rFonts w:hAnsi="宋体"/>
        </w:rPr>
        <w:tab/>
      </w:r>
      <w:r>
        <w:rPr>
          <w:rFonts w:hint="eastAsia" w:hAnsi="宋体"/>
        </w:rPr>
        <w:t>8</w:t>
      </w:r>
      <w:r>
        <w:rPr>
          <w:rFonts w:hint="eastAsia" w:hAnsi="宋体"/>
        </w:rPr>
        <w:fldChar w:fldCharType="end"/>
      </w:r>
    </w:p>
    <w:p>
      <w:pPr>
        <w:pStyle w:val="16"/>
        <w:tabs>
          <w:tab w:val="right" w:leader="dot" w:pos="9345"/>
        </w:tabs>
      </w:pPr>
      <w:r>
        <w:fldChar w:fldCharType="begin"/>
      </w:r>
      <w:r>
        <w:instrText xml:space="preserve"> HYPERLINK \l "_Toc455493803" </w:instrText>
      </w:r>
      <w:r>
        <w:fldChar w:fldCharType="separate"/>
      </w:r>
      <w:r>
        <w:rPr>
          <w:rStyle w:val="38"/>
          <w:rFonts w:hint="eastAsia" w:ascii="宋体" w:hAnsi="宋体"/>
        </w:rPr>
        <w:t>附录</w:t>
      </w:r>
      <w:r>
        <w:rPr>
          <w:rStyle w:val="38"/>
          <w:rFonts w:ascii="宋体" w:hAnsi="宋体"/>
        </w:rPr>
        <w:t>A</w:t>
      </w:r>
      <w:r>
        <w:rPr>
          <w:rStyle w:val="38"/>
          <w:rFonts w:hint="eastAsia" w:ascii="宋体" w:hAnsi="宋体"/>
        </w:rPr>
        <w:t>（规范性附录）产品规格表</w:t>
      </w:r>
      <w:r>
        <w:rPr>
          <w:rFonts w:hAnsi="宋体"/>
        </w:rPr>
        <w:tab/>
      </w:r>
      <w:r>
        <w:rPr>
          <w:rFonts w:hint="eastAsia" w:hAnsi="宋体"/>
        </w:rPr>
        <w:t>9</w:t>
      </w:r>
      <w:r>
        <w:rPr>
          <w:rFonts w:hint="eastAsia" w:hAnsi="宋体"/>
        </w:rPr>
        <w:fldChar w:fldCharType="end"/>
      </w:r>
    </w:p>
    <w:p>
      <w:pPr>
        <w:pStyle w:val="16"/>
        <w:tabs>
          <w:tab w:val="right" w:leader="dot" w:pos="9345"/>
        </w:tabs>
      </w:pPr>
      <w:r>
        <w:fldChar w:fldCharType="begin"/>
      </w:r>
      <w:r>
        <w:instrText xml:space="preserve"> HYPERLINK \l "_Toc455493803" </w:instrText>
      </w:r>
      <w:r>
        <w:fldChar w:fldCharType="separate"/>
      </w:r>
      <w:r>
        <w:rPr>
          <w:rStyle w:val="38"/>
          <w:rFonts w:hint="eastAsia" w:ascii="宋体" w:hAnsi="宋体"/>
        </w:rPr>
        <w:t>附录B（规范性附录）安全性检查明细表</w:t>
      </w:r>
      <w:r>
        <w:rPr>
          <w:rFonts w:hAnsi="宋体"/>
        </w:rPr>
        <w:tab/>
      </w:r>
      <w:r>
        <w:rPr>
          <w:rFonts w:hint="eastAsia" w:hAnsi="宋体"/>
        </w:rPr>
        <w:t>10</w:t>
      </w:r>
      <w:r>
        <w:rPr>
          <w:rFonts w:hint="eastAsia" w:hAnsi="宋体"/>
        </w:rPr>
        <w:fldChar w:fldCharType="end"/>
      </w:r>
    </w:p>
    <w:p>
      <w:pPr>
        <w:pStyle w:val="16"/>
        <w:tabs>
          <w:tab w:val="right" w:leader="dot" w:pos="9345"/>
        </w:tabs>
        <w:rPr>
          <w:rFonts w:hAnsi="宋体"/>
          <w:kern w:val="2"/>
          <w:szCs w:val="22"/>
        </w:rPr>
      </w:pPr>
      <w:r>
        <w:fldChar w:fldCharType="begin"/>
      </w:r>
      <w:r>
        <w:instrText xml:space="preserve"> HYPERLINK \l "_Toc455493804" </w:instrText>
      </w:r>
      <w:r>
        <w:fldChar w:fldCharType="separate"/>
      </w:r>
      <w:r>
        <w:rPr>
          <w:rStyle w:val="38"/>
          <w:rFonts w:hint="eastAsia" w:ascii="宋体" w:hAnsi="宋体"/>
        </w:rPr>
        <w:t>附录C（规范性附录）用户调查表</w:t>
      </w:r>
      <w:r>
        <w:rPr>
          <w:rFonts w:hAnsi="宋体"/>
        </w:rPr>
        <w:tab/>
      </w:r>
      <w:r>
        <w:rPr>
          <w:rFonts w:hint="eastAsia" w:hAnsi="宋体"/>
        </w:rPr>
        <w:t>12</w:t>
      </w:r>
      <w:r>
        <w:rPr>
          <w:rFonts w:hint="eastAsia" w:hAnsi="宋体"/>
        </w:rPr>
        <w:fldChar w:fldCharType="end"/>
      </w:r>
    </w:p>
    <w:p>
      <w:pPr>
        <w:pStyle w:val="14"/>
        <w:tabs>
          <w:tab w:val="right" w:leader="dot" w:pos="9345"/>
        </w:tabs>
        <w:rPr>
          <w:rFonts w:hAnsi="宋体"/>
        </w:rPr>
      </w:pPr>
      <w:r>
        <w:rPr>
          <w:rFonts w:hAnsi="宋体"/>
        </w:rPr>
        <w:fldChar w:fldCharType="end"/>
      </w:r>
    </w:p>
    <w:p>
      <w:pPr>
        <w:pStyle w:val="98"/>
        <w:sectPr>
          <w:headerReference r:id="rId9" w:type="default"/>
          <w:footerReference r:id="rId11" w:type="default"/>
          <w:headerReference r:id="rId10" w:type="even"/>
          <w:footerReference r:id="rId12" w:type="even"/>
          <w:pgSz w:w="11907" w:h="16839"/>
          <w:pgMar w:top="1418" w:right="1134" w:bottom="1134" w:left="1418" w:header="1020" w:footer="851" w:gutter="0"/>
          <w:pgNumType w:fmt="upperRoman" w:start="1"/>
          <w:cols w:space="425" w:num="1"/>
          <w:docGrid w:type="lines" w:linePitch="312" w:charSpace="0"/>
        </w:sectPr>
      </w:pPr>
    </w:p>
    <w:bookmarkEnd w:id="1"/>
    <w:p>
      <w:pPr>
        <w:pStyle w:val="64"/>
        <w:ind w:firstLine="4160" w:firstLineChars="1300"/>
        <w:jc w:val="both"/>
      </w:pPr>
      <w:bookmarkStart w:id="2" w:name="_Toc455493754"/>
      <w:bookmarkStart w:id="3" w:name="SectionMark2"/>
      <w:r>
        <w:rPr>
          <w:rFonts w:hint="eastAsia"/>
        </w:rPr>
        <w:t>前言</w:t>
      </w:r>
      <w:bookmarkEnd w:id="2"/>
    </w:p>
    <w:p>
      <w:pPr>
        <w:ind w:firstLine="410"/>
        <w:rPr>
          <w:rFonts w:ascii="宋体" w:hAnsi="宋体" w:cs="宋体"/>
          <w:szCs w:val="21"/>
        </w:rPr>
      </w:pPr>
      <w:r>
        <w:rPr>
          <w:rFonts w:hint="eastAsia" w:ascii="宋体" w:hAnsi="宋体" w:cs="宋体"/>
          <w:szCs w:val="21"/>
        </w:rPr>
        <w:t>本大纲依据</w:t>
      </w:r>
      <w:r>
        <w:rPr>
          <w:rFonts w:ascii="宋体" w:hAnsi="宋体"/>
          <w:kern w:val="0"/>
          <w:szCs w:val="20"/>
        </w:rPr>
        <w:t>TZ 1—</w:t>
      </w:r>
      <w:r>
        <w:rPr>
          <w:rFonts w:hint="eastAsia" w:ascii="宋体" w:hAnsi="宋体"/>
          <w:kern w:val="0"/>
          <w:szCs w:val="20"/>
        </w:rPr>
        <w:t>2019</w:t>
      </w:r>
      <w:r>
        <w:rPr>
          <w:rFonts w:hint="eastAsia" w:ascii="宋体" w:hAnsi="宋体" w:cs="宋体"/>
          <w:szCs w:val="21"/>
        </w:rPr>
        <w:t>《农业机械推广鉴定大纲编写规则》编制。</w:t>
      </w:r>
    </w:p>
    <w:p>
      <w:pPr>
        <w:ind w:firstLine="410"/>
        <w:rPr>
          <w:rFonts w:ascii="宋体"/>
        </w:rPr>
      </w:pPr>
      <w:r>
        <w:rPr>
          <w:rFonts w:hint="eastAsia" w:ascii="宋体" w:hAnsi="宋体" w:cs="宋体"/>
          <w:szCs w:val="21"/>
        </w:rPr>
        <w:t>本大纲为首次制定。</w:t>
      </w:r>
    </w:p>
    <w:p>
      <w:pPr>
        <w:pStyle w:val="66"/>
        <w:ind w:firstLine="420"/>
        <w:rPr>
          <w:rFonts w:hAnsi="宋体"/>
        </w:rPr>
      </w:pPr>
      <w:r>
        <w:rPr>
          <w:rFonts w:hint="eastAsia" w:hAnsi="宋体"/>
        </w:rPr>
        <w:t>本大纲由农业农村部农业机械化管理司提出。</w:t>
      </w:r>
    </w:p>
    <w:p>
      <w:pPr>
        <w:pStyle w:val="66"/>
        <w:ind w:firstLine="420"/>
        <w:rPr>
          <w:rFonts w:hAnsi="宋体"/>
        </w:rPr>
      </w:pPr>
      <w:r>
        <w:rPr>
          <w:rFonts w:hint="eastAsia" w:hAnsi="宋体"/>
        </w:rPr>
        <w:t>本大纲由农业农村部农业机械试验鉴定总站技术归口。</w:t>
      </w:r>
    </w:p>
    <w:p>
      <w:pPr>
        <w:pStyle w:val="66"/>
        <w:ind w:firstLine="420"/>
      </w:pPr>
      <w:r>
        <w:rPr>
          <w:rFonts w:hint="eastAsia" w:hAnsi="宋体"/>
        </w:rPr>
        <w:t>本大纲起草单位：</w:t>
      </w:r>
      <w:r>
        <w:rPr>
          <w:rFonts w:hint="eastAsia"/>
        </w:rPr>
        <w:t>内蒙古自治区农牧业机械试验鉴定站、</w:t>
      </w:r>
      <w:r>
        <w:t>新疆维吾尔自治区农牧业机械产品质量监督管理站</w:t>
      </w:r>
      <w:r>
        <w:rPr>
          <w:rFonts w:hint="eastAsia"/>
        </w:rPr>
        <w:t>、河北省农业机械试验鉴定站、山东省农业机械试验鉴定站。</w:t>
      </w:r>
    </w:p>
    <w:p>
      <w:pPr>
        <w:widowControl/>
        <w:autoSpaceDE w:val="0"/>
        <w:autoSpaceDN w:val="0"/>
        <w:ind w:left="420"/>
        <w:rPr>
          <w:rFonts w:ascii="宋体"/>
          <w:kern w:val="0"/>
          <w:szCs w:val="20"/>
        </w:rPr>
      </w:pPr>
      <w:r>
        <w:rPr>
          <w:rFonts w:hint="eastAsia" w:ascii="宋体" w:hAnsi="宋体"/>
          <w:kern w:val="0"/>
          <w:szCs w:val="20"/>
        </w:rPr>
        <w:t>本大纲主要起草人：刘波、周风林、宋为民、王菡、王健、纪惠鹏、吴新声、封伟、史正芳。</w:t>
      </w: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420"/>
      </w:pPr>
    </w:p>
    <w:p>
      <w:pPr>
        <w:pStyle w:val="66"/>
        <w:ind w:firstLine="0" w:firstLineChars="0"/>
      </w:pPr>
    </w:p>
    <w:p>
      <w:pPr>
        <w:pStyle w:val="66"/>
        <w:ind w:firstLine="0" w:firstLineChars="0"/>
        <w:sectPr>
          <w:headerReference r:id="rId13" w:type="default"/>
          <w:footerReference r:id="rId14" w:type="default"/>
          <w:pgSz w:w="11907" w:h="16839"/>
          <w:pgMar w:top="1418" w:right="1134" w:bottom="1134" w:left="1418" w:header="1418" w:footer="851" w:gutter="0"/>
          <w:pgNumType w:fmt="upperRoman"/>
          <w:cols w:space="425" w:num="1"/>
          <w:docGrid w:type="lines" w:linePitch="312" w:charSpace="0"/>
        </w:sectPr>
      </w:pPr>
    </w:p>
    <w:bookmarkEnd w:id="3"/>
    <w:p>
      <w:pPr>
        <w:jc w:val="center"/>
        <w:rPr>
          <w:rFonts w:eastAsia="黑体"/>
          <w:sz w:val="32"/>
        </w:rPr>
      </w:pPr>
      <w:bookmarkStart w:id="4" w:name="SectionMark4"/>
      <w:r>
        <w:rPr>
          <w:rFonts w:hint="eastAsia" w:eastAsia="黑体"/>
          <w:sz w:val="32"/>
        </w:rPr>
        <w:t>葵花籽收获机</w:t>
      </w:r>
    </w:p>
    <w:p>
      <w:pPr>
        <w:jc w:val="center"/>
        <w:rPr>
          <w:rFonts w:eastAsia="黑体"/>
          <w:sz w:val="32"/>
        </w:rPr>
      </w:pPr>
    </w:p>
    <w:p>
      <w:pPr>
        <w:pStyle w:val="67"/>
        <w:numPr>
          <w:ilvl w:val="1"/>
          <w:numId w:val="1"/>
        </w:numPr>
        <w:spacing w:beforeLines="100" w:afterLines="100" w:line="360" w:lineRule="exact"/>
        <w:contextualSpacing/>
      </w:pPr>
      <w:bookmarkStart w:id="5" w:name="_Toc455493755"/>
      <w:r>
        <w:rPr>
          <w:rFonts w:hint="eastAsia"/>
        </w:rPr>
        <w:t>范围</w:t>
      </w:r>
      <w:bookmarkEnd w:id="4"/>
      <w:bookmarkEnd w:id="5"/>
      <w:bookmarkStart w:id="6" w:name="_Toc3083345"/>
      <w:bookmarkStart w:id="7" w:name="_Toc4378193"/>
      <w:bookmarkStart w:id="8" w:name="_Toc3081116"/>
      <w:bookmarkStart w:id="9" w:name="_Toc4396861"/>
      <w:bookmarkStart w:id="10" w:name="_Toc3082619"/>
      <w:bookmarkStart w:id="11" w:name="_Toc4383325"/>
      <w:bookmarkStart w:id="12" w:name="_Toc510154842"/>
      <w:bookmarkStart w:id="13" w:name="_Toc4396910"/>
      <w:bookmarkStart w:id="14" w:name="_Toc3083689"/>
      <w:bookmarkStart w:id="15" w:name="_Toc3083897"/>
      <w:bookmarkStart w:id="16" w:name="_Toc3083602"/>
      <w:bookmarkStart w:id="17" w:name="_Toc3082637"/>
      <w:bookmarkStart w:id="18" w:name="_Toc4425380"/>
      <w:bookmarkStart w:id="19" w:name="_Toc34030010"/>
      <w:bookmarkStart w:id="20" w:name="_Toc3882139"/>
      <w:bookmarkStart w:id="21" w:name="_Toc510155203"/>
      <w:bookmarkStart w:id="22" w:name="_Toc4423716"/>
    </w:p>
    <w:p>
      <w:pPr>
        <w:pStyle w:val="66"/>
        <w:spacing w:before="50" w:after="50"/>
        <w:ind w:firstLine="420"/>
        <w:contextualSpacing/>
        <w:rPr>
          <w:rFonts w:hAnsi="宋体"/>
        </w:rPr>
      </w:pPr>
      <w:r>
        <w:rPr>
          <w:rFonts w:hint="eastAsia" w:hAnsi="宋体"/>
        </w:rPr>
        <w:t>本大纲规定了葵花籽收获机推广鉴定的内容、方法和判定规则。</w:t>
      </w:r>
    </w:p>
    <w:p>
      <w:pPr>
        <w:pStyle w:val="66"/>
        <w:spacing w:before="50" w:after="50"/>
        <w:ind w:firstLine="420"/>
        <w:contextualSpacing/>
      </w:pPr>
      <w:r>
        <w:rPr>
          <w:rFonts w:hint="eastAsia" w:hAnsi="宋体"/>
        </w:rPr>
        <w:t>本大纲适用于</w:t>
      </w:r>
      <w:r>
        <w:rPr>
          <w:rFonts w:hint="eastAsia"/>
        </w:rPr>
        <w:t>葵花籽收获机的推广鉴定。</w:t>
      </w:r>
    </w:p>
    <w:p>
      <w:pPr>
        <w:pStyle w:val="67"/>
        <w:numPr>
          <w:ilvl w:val="1"/>
          <w:numId w:val="1"/>
        </w:numPr>
        <w:spacing w:beforeLines="100" w:afterLines="100"/>
        <w:contextualSpacing/>
      </w:pPr>
      <w:bookmarkStart w:id="23" w:name="_Toc455493756"/>
      <w:r>
        <w:rPr>
          <w:rFonts w:hint="eastAsia"/>
        </w:rPr>
        <w:t>规范性引用文件</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66"/>
        <w:spacing w:before="50" w:after="50"/>
        <w:ind w:firstLine="420"/>
        <w:contextualSpacing/>
        <w:rPr>
          <w:rFonts w:hAnsi="宋体"/>
        </w:rPr>
      </w:pPr>
      <w:r>
        <w:rPr>
          <w:rFonts w:hint="eastAsia" w:hAnsi="宋体"/>
        </w:rPr>
        <w:t>下列文件对于本文件的应用是必不可少的。凡是注日期的引用文件，仅注日期的版本适用于本文件。凡是不注日期的引用文件，其最新版本</w:t>
      </w:r>
      <w:r>
        <w:rPr>
          <w:rFonts w:hAnsi="宋体"/>
        </w:rPr>
        <w:t>(</w:t>
      </w:r>
      <w:r>
        <w:rPr>
          <w:rFonts w:hint="eastAsia" w:hAnsi="宋体"/>
        </w:rPr>
        <w:t>包括所有的修改单</w:t>
      </w:r>
      <w:r>
        <w:rPr>
          <w:rFonts w:hAnsi="宋体"/>
        </w:rPr>
        <w:t>)</w:t>
      </w:r>
      <w:r>
        <w:rPr>
          <w:rFonts w:hint="eastAsia" w:hAnsi="宋体"/>
        </w:rPr>
        <w:t>适用于本文件。</w:t>
      </w:r>
    </w:p>
    <w:p>
      <w:pPr>
        <w:pStyle w:val="66"/>
        <w:spacing w:before="50" w:after="50"/>
        <w:ind w:firstLine="420"/>
        <w:contextualSpacing/>
        <w:rPr>
          <w:rFonts w:hAnsi="宋体"/>
        </w:rPr>
      </w:pPr>
      <w:r>
        <w:rPr>
          <w:rFonts w:hint="eastAsia" w:hAnsi="宋体"/>
        </w:rPr>
        <w:t>GB 10395.1-2009 农林机械 安全 第1部分：总则</w:t>
      </w:r>
      <w:bookmarkStart w:id="24" w:name="_Toc72809432"/>
      <w:bookmarkStart w:id="25" w:name="_Toc72809409"/>
      <w:bookmarkStart w:id="26" w:name="_Toc72809758"/>
      <w:bookmarkStart w:id="27" w:name="_Toc72811043"/>
      <w:bookmarkStart w:id="28" w:name="_Toc72811473"/>
      <w:bookmarkStart w:id="29" w:name="_Toc72811791"/>
      <w:bookmarkStart w:id="30" w:name="_Toc72811361"/>
      <w:bookmarkStart w:id="31" w:name="_Toc72811772"/>
    </w:p>
    <w:p>
      <w:pPr>
        <w:pStyle w:val="66"/>
        <w:spacing w:before="50" w:after="50"/>
        <w:ind w:firstLine="420"/>
        <w:contextualSpacing/>
        <w:rPr>
          <w:rFonts w:hAnsi="宋体"/>
        </w:rPr>
      </w:pPr>
      <w:r>
        <w:rPr>
          <w:rFonts w:hAnsi="宋体"/>
        </w:rPr>
        <w:t>GB 10396</w:t>
      </w:r>
      <w:r>
        <w:rPr>
          <w:rFonts w:hint="eastAsia" w:hAnsi="宋体"/>
        </w:rPr>
        <w:t xml:space="preserve"> 农林拖拉机和机械、草坪和园艺动力机械安全标志和危险图形总则</w:t>
      </w:r>
    </w:p>
    <w:p>
      <w:pPr>
        <w:pStyle w:val="67"/>
        <w:numPr>
          <w:ilvl w:val="1"/>
          <w:numId w:val="1"/>
        </w:numPr>
        <w:spacing w:beforeLines="100" w:afterLines="100" w:line="360" w:lineRule="exact"/>
        <w:contextualSpacing/>
        <w:rPr>
          <w:rFonts w:hAnsi="宋体"/>
        </w:rPr>
      </w:pPr>
      <w:r>
        <w:rPr>
          <w:rFonts w:hint="eastAsia" w:hAnsi="宋体"/>
        </w:rPr>
        <w:t>术语和定义</w:t>
      </w:r>
    </w:p>
    <w:p>
      <w:pPr>
        <w:pStyle w:val="66"/>
        <w:spacing w:beforeLines="50" w:afterLines="50"/>
        <w:ind w:firstLine="403" w:firstLineChars="0"/>
      </w:pPr>
      <w:r>
        <w:rPr>
          <w:rFonts w:hint="eastAsia"/>
        </w:rPr>
        <w:t>下列术语和定义适用于本文件。</w:t>
      </w:r>
    </w:p>
    <w:p>
      <w:pPr>
        <w:pStyle w:val="66"/>
        <w:spacing w:beforeLines="50" w:afterLines="50"/>
        <w:ind w:firstLine="0" w:firstLineChars="0"/>
        <w:rPr>
          <w:rFonts w:ascii="黑体" w:hAnsi="黑体" w:eastAsia="黑体"/>
        </w:rPr>
      </w:pPr>
      <w:r>
        <w:rPr>
          <w:rFonts w:hint="eastAsia" w:ascii="黑体" w:hAnsi="黑体" w:eastAsia="黑体"/>
        </w:rPr>
        <w:t>3.1</w:t>
      </w:r>
    </w:p>
    <w:p>
      <w:pPr>
        <w:pStyle w:val="68"/>
        <w:ind w:firstLine="420" w:firstLineChars="200"/>
      </w:pPr>
      <w:bookmarkStart w:id="32" w:name="_Toc489641061"/>
      <w:r>
        <w:rPr>
          <w:rFonts w:hint="eastAsia"/>
        </w:rPr>
        <w:t>自走式葵花籽收获机</w:t>
      </w:r>
      <w:bookmarkEnd w:id="32"/>
    </w:p>
    <w:p>
      <w:pPr>
        <w:pStyle w:val="66"/>
        <w:ind w:firstLine="420"/>
      </w:pPr>
      <w:bookmarkStart w:id="33" w:name="_Toc471142444"/>
      <w:bookmarkStart w:id="34" w:name="_Toc471142576"/>
      <w:r>
        <w:rPr>
          <w:rFonts w:hint="eastAsia"/>
        </w:rPr>
        <w:t>能一次完成向日葵葵盘收割、脱粒、清选、集箱的自走式收获机械。</w:t>
      </w:r>
      <w:bookmarkEnd w:id="33"/>
      <w:bookmarkEnd w:id="34"/>
    </w:p>
    <w:p>
      <w:pPr>
        <w:pStyle w:val="66"/>
        <w:spacing w:beforeLines="50" w:afterLines="50"/>
        <w:ind w:firstLine="0" w:firstLineChars="0"/>
        <w:rPr>
          <w:rFonts w:ascii="黑体" w:hAnsi="黑体" w:eastAsia="黑体"/>
        </w:rPr>
      </w:pPr>
      <w:r>
        <w:rPr>
          <w:rFonts w:hint="eastAsia" w:ascii="黑体" w:hAnsi="黑体" w:eastAsia="黑体"/>
        </w:rPr>
        <w:t>3.2</w:t>
      </w:r>
    </w:p>
    <w:p>
      <w:pPr>
        <w:pStyle w:val="68"/>
        <w:ind w:firstLine="420" w:firstLineChars="200"/>
      </w:pPr>
      <w:r>
        <w:rPr>
          <w:rFonts w:hint="eastAsia"/>
        </w:rPr>
        <w:t>葵花籽收获机</w:t>
      </w:r>
    </w:p>
    <w:p>
      <w:pPr>
        <w:pStyle w:val="66"/>
        <w:ind w:firstLine="420"/>
      </w:pPr>
      <w:r>
        <w:rPr>
          <w:rFonts w:hint="eastAsia"/>
        </w:rPr>
        <w:t>能一次完成向日葵葵盘脱粒、清选、集箱的收获机械。</w:t>
      </w:r>
    </w:p>
    <w:p>
      <w:pPr>
        <w:pStyle w:val="66"/>
        <w:spacing w:beforeLines="50" w:afterLines="50"/>
        <w:ind w:firstLine="0" w:firstLineChars="0"/>
        <w:rPr>
          <w:rFonts w:ascii="黑体" w:hAnsi="黑体" w:eastAsia="黑体"/>
        </w:rPr>
      </w:pPr>
      <w:r>
        <w:rPr>
          <w:rFonts w:hint="eastAsia" w:ascii="黑体" w:hAnsi="黑体" w:eastAsia="黑体"/>
        </w:rPr>
        <w:t>3.2</w:t>
      </w:r>
    </w:p>
    <w:p>
      <w:pPr>
        <w:pStyle w:val="68"/>
        <w:ind w:firstLine="420" w:firstLineChars="200"/>
      </w:pPr>
      <w:bookmarkStart w:id="35" w:name="_Toc489641069"/>
      <w:r>
        <w:rPr>
          <w:rFonts w:hint="eastAsia"/>
        </w:rPr>
        <w:t>葵盘高度</w:t>
      </w:r>
      <w:bookmarkEnd w:id="35"/>
    </w:p>
    <w:p>
      <w:pPr>
        <w:pStyle w:val="66"/>
        <w:ind w:firstLine="420"/>
      </w:pPr>
      <w:bookmarkStart w:id="36" w:name="_Toc471142588"/>
      <w:bookmarkStart w:id="37" w:name="_Toc471142450"/>
      <w:r>
        <w:rPr>
          <w:rFonts w:hint="eastAsia"/>
        </w:rPr>
        <w:t>向日葵自然生长成熟后，葵盘下端面到所在垄顶面的垂直距离。</w:t>
      </w:r>
      <w:bookmarkEnd w:id="36"/>
      <w:bookmarkEnd w:id="37"/>
    </w:p>
    <w:p>
      <w:pPr>
        <w:pStyle w:val="66"/>
        <w:spacing w:beforeLines="50" w:afterLines="50"/>
        <w:ind w:firstLine="0" w:firstLineChars="0"/>
        <w:rPr>
          <w:rFonts w:ascii="黑体" w:hAnsi="黑体" w:eastAsia="黑体"/>
        </w:rPr>
      </w:pPr>
      <w:r>
        <w:rPr>
          <w:rFonts w:hint="eastAsia" w:ascii="黑体" w:hAnsi="黑体" w:eastAsia="黑体"/>
        </w:rPr>
        <w:t>3.3</w:t>
      </w:r>
    </w:p>
    <w:p>
      <w:pPr>
        <w:pStyle w:val="68"/>
        <w:ind w:firstLine="420" w:firstLineChars="200"/>
      </w:pPr>
      <w:bookmarkStart w:id="38" w:name="_Toc489641075"/>
      <w:r>
        <w:rPr>
          <w:rFonts w:hint="eastAsia"/>
        </w:rPr>
        <w:t>划伤籽粒</w:t>
      </w:r>
      <w:bookmarkEnd w:id="38"/>
    </w:p>
    <w:p>
      <w:pPr>
        <w:pStyle w:val="66"/>
        <w:ind w:firstLine="420"/>
      </w:pPr>
      <w:bookmarkStart w:id="39" w:name="_Toc471142452"/>
      <w:bookmarkStart w:id="40" w:name="_Toc471142596"/>
      <w:r>
        <w:rPr>
          <w:rFonts w:hint="eastAsia"/>
        </w:rPr>
        <w:t>脱粒后，经目测籽粒表面有机械划痕</w:t>
      </w:r>
      <w:r>
        <w:t>,</w:t>
      </w:r>
      <w:bookmarkEnd w:id="39"/>
      <w:bookmarkEnd w:id="40"/>
      <w:r>
        <w:rPr>
          <w:rFonts w:hint="eastAsia"/>
        </w:rPr>
        <w:t>划痕面积大于籽粒表面积</w:t>
      </w:r>
      <w:r>
        <w:t>1/10</w:t>
      </w:r>
      <w:r>
        <w:rPr>
          <w:rFonts w:hint="eastAsia"/>
        </w:rPr>
        <w:t>的向日葵籽粒。</w:t>
      </w:r>
    </w:p>
    <w:p>
      <w:pPr>
        <w:pStyle w:val="66"/>
        <w:spacing w:beforeLines="50" w:afterLines="50"/>
        <w:ind w:firstLine="0" w:firstLineChars="0"/>
        <w:rPr>
          <w:rFonts w:ascii="黑体" w:hAnsi="黑体" w:eastAsia="黑体"/>
        </w:rPr>
      </w:pPr>
      <w:r>
        <w:rPr>
          <w:rFonts w:hint="eastAsia" w:ascii="黑体" w:hAnsi="黑体" w:eastAsia="黑体"/>
        </w:rPr>
        <w:t>3.4</w:t>
      </w:r>
    </w:p>
    <w:p>
      <w:pPr>
        <w:pStyle w:val="68"/>
        <w:ind w:firstLine="420" w:firstLineChars="200"/>
      </w:pPr>
      <w:bookmarkStart w:id="41" w:name="_Toc489641077"/>
      <w:r>
        <w:rPr>
          <w:rFonts w:hint="eastAsia"/>
        </w:rPr>
        <w:t>破损籽粒</w:t>
      </w:r>
      <w:bookmarkEnd w:id="41"/>
    </w:p>
    <w:p>
      <w:pPr>
        <w:pStyle w:val="66"/>
        <w:ind w:firstLine="420"/>
      </w:pPr>
      <w:bookmarkStart w:id="42" w:name="_Toc471142453"/>
      <w:bookmarkStart w:id="43" w:name="_Toc471142599"/>
      <w:r>
        <w:rPr>
          <w:rFonts w:hint="eastAsia"/>
        </w:rPr>
        <w:t>脱粒后，向日葵籽粒外壳有破裂</w:t>
      </w:r>
      <w:bookmarkEnd w:id="42"/>
      <w:bookmarkEnd w:id="43"/>
      <w:r>
        <w:t>,</w:t>
      </w:r>
      <w:r>
        <w:rPr>
          <w:rFonts w:hint="eastAsia"/>
        </w:rPr>
        <w:t>裂口大于籽粒长</w:t>
      </w:r>
      <w:r>
        <w:t>1/5</w:t>
      </w:r>
      <w:r>
        <w:rPr>
          <w:rFonts w:hint="eastAsia"/>
        </w:rPr>
        <w:t>的向日葵籽粒。</w:t>
      </w:r>
    </w:p>
    <w:p>
      <w:pPr>
        <w:pStyle w:val="66"/>
        <w:spacing w:beforeLines="50" w:afterLines="50"/>
        <w:ind w:firstLine="0" w:firstLineChars="0"/>
        <w:rPr>
          <w:rFonts w:ascii="黑体" w:hAnsi="黑体" w:eastAsia="黑体"/>
        </w:rPr>
      </w:pPr>
      <w:r>
        <w:rPr>
          <w:rFonts w:hint="eastAsia" w:ascii="黑体" w:hAnsi="黑体" w:eastAsia="黑体"/>
        </w:rPr>
        <w:t>3.5</w:t>
      </w:r>
    </w:p>
    <w:p>
      <w:pPr>
        <w:pStyle w:val="68"/>
        <w:ind w:firstLine="420" w:firstLineChars="200"/>
      </w:pPr>
      <w:bookmarkStart w:id="44" w:name="_Toc489641079"/>
      <w:r>
        <w:rPr>
          <w:rFonts w:hint="eastAsia"/>
        </w:rPr>
        <w:t>落地籽粒质量</w:t>
      </w:r>
      <w:bookmarkEnd w:id="44"/>
    </w:p>
    <w:p>
      <w:pPr>
        <w:pStyle w:val="66"/>
        <w:ind w:firstLine="420"/>
        <w:rPr>
          <w:color w:val="0000FF"/>
        </w:rPr>
      </w:pPr>
      <w:r>
        <w:rPr>
          <w:rFonts w:hint="eastAsia"/>
        </w:rPr>
        <w:t>收获过程中，全部落地葵盘籽粒、漏割葵盘籽粒和落地籽粒质量之和</w:t>
      </w:r>
      <w:r>
        <w:rPr>
          <w:rFonts w:hint="eastAsia"/>
          <w:color w:val="0000FF"/>
        </w:rPr>
        <w:t>。</w:t>
      </w:r>
    </w:p>
    <w:p>
      <w:pPr>
        <w:pStyle w:val="66"/>
        <w:spacing w:beforeLines="50" w:afterLines="50"/>
        <w:ind w:firstLine="0" w:firstLineChars="0"/>
        <w:rPr>
          <w:rFonts w:ascii="黑体" w:hAnsi="黑体" w:eastAsia="黑体"/>
        </w:rPr>
      </w:pPr>
      <w:r>
        <w:rPr>
          <w:rFonts w:hint="eastAsia" w:ascii="黑体" w:hAnsi="黑体" w:eastAsia="黑体"/>
        </w:rPr>
        <w:t>3.6</w:t>
      </w:r>
    </w:p>
    <w:p>
      <w:pPr>
        <w:pStyle w:val="68"/>
        <w:ind w:firstLine="420" w:firstLineChars="200"/>
      </w:pPr>
      <w:bookmarkStart w:id="45" w:name="_Toc489641081"/>
      <w:r>
        <w:rPr>
          <w:rFonts w:hint="eastAsia"/>
        </w:rPr>
        <w:t>夹带籽粒质量</w:t>
      </w:r>
      <w:bookmarkEnd w:id="45"/>
      <w:bookmarkStart w:id="46" w:name="_Toc471142454"/>
      <w:bookmarkStart w:id="47" w:name="_Toc471142604"/>
    </w:p>
    <w:p>
      <w:pPr>
        <w:pStyle w:val="66"/>
        <w:ind w:firstLine="420"/>
      </w:pPr>
      <w:r>
        <w:rPr>
          <w:rFonts w:hint="eastAsia"/>
        </w:rPr>
        <w:t>收获过程中，进入葵盘仓内全部未脱净的葵盘籽粒质量和葵盘移动夹带进仓籽粒质量之和。</w:t>
      </w:r>
      <w:bookmarkEnd w:id="46"/>
      <w:bookmarkEnd w:id="47"/>
    </w:p>
    <w:bookmarkEnd w:id="24"/>
    <w:bookmarkEnd w:id="25"/>
    <w:bookmarkEnd w:id="26"/>
    <w:bookmarkEnd w:id="27"/>
    <w:bookmarkEnd w:id="28"/>
    <w:bookmarkEnd w:id="29"/>
    <w:bookmarkEnd w:id="30"/>
    <w:bookmarkEnd w:id="31"/>
    <w:p>
      <w:pPr>
        <w:pStyle w:val="67"/>
        <w:numPr>
          <w:ilvl w:val="1"/>
          <w:numId w:val="1"/>
        </w:numPr>
        <w:spacing w:beforeLines="100" w:afterLines="100"/>
        <w:contextualSpacing/>
      </w:pPr>
      <w:bookmarkStart w:id="48" w:name="_Toc455493758"/>
      <w:r>
        <w:rPr>
          <w:rFonts w:hint="eastAsia"/>
        </w:rPr>
        <w:t>基本要求</w:t>
      </w:r>
      <w:bookmarkEnd w:id="48"/>
    </w:p>
    <w:p>
      <w:pPr>
        <w:pStyle w:val="68"/>
        <w:numPr>
          <w:ilvl w:val="1"/>
          <w:numId w:val="12"/>
        </w:numPr>
        <w:spacing w:beforeLines="50" w:afterLines="50"/>
        <w:contextualSpacing/>
        <w:jc w:val="left"/>
        <w:rPr>
          <w:rFonts w:hAnsi="黑体"/>
        </w:rPr>
      </w:pPr>
      <w:bookmarkStart w:id="49" w:name="_Toc455493759"/>
      <w:bookmarkStart w:id="50" w:name="_Toc452449036"/>
      <w:r>
        <w:rPr>
          <w:rFonts w:hint="eastAsia" w:hAnsi="黑体"/>
        </w:rPr>
        <w:t xml:space="preserve"> 需补充提供的</w:t>
      </w:r>
      <w:bookmarkEnd w:id="49"/>
      <w:bookmarkEnd w:id="50"/>
      <w:r>
        <w:rPr>
          <w:rFonts w:hint="eastAsia" w:hAnsi="黑体"/>
        </w:rPr>
        <w:t>文件资料</w:t>
      </w:r>
    </w:p>
    <w:p>
      <w:pPr>
        <w:pStyle w:val="66"/>
        <w:ind w:firstLine="420"/>
        <w:contextualSpacing/>
        <w:rPr>
          <w:rFonts w:hAnsi="宋体"/>
          <w:szCs w:val="21"/>
        </w:rPr>
      </w:pPr>
      <w:bookmarkStart w:id="51" w:name="_Toc72809760"/>
      <w:bookmarkStart w:id="52" w:name="_Toc72809434"/>
      <w:bookmarkStart w:id="53" w:name="_Toc72811045"/>
      <w:bookmarkStart w:id="54" w:name="_Toc72811363"/>
      <w:bookmarkStart w:id="55" w:name="_Toc72811475"/>
      <w:bookmarkStart w:id="56" w:name="_Toc72811793"/>
      <w:r>
        <w:rPr>
          <w:rFonts w:hint="eastAsia" w:hAnsi="宋体"/>
          <w:szCs w:val="21"/>
        </w:rPr>
        <w:t>除申请时提交的材料之外，需补充提供以下材料：</w:t>
      </w:r>
    </w:p>
    <w:p>
      <w:pPr>
        <w:pStyle w:val="138"/>
        <w:tabs>
          <w:tab w:val="clear" w:pos="1140"/>
        </w:tabs>
        <w:ind w:left="-420" w:leftChars="-200" w:firstLine="840" w:firstLineChars="400"/>
        <w:contextualSpacing/>
        <w:rPr>
          <w:rFonts w:hAnsi="宋体"/>
          <w:bCs/>
        </w:rPr>
      </w:pPr>
      <w:r>
        <w:rPr>
          <w:rFonts w:hAnsi="宋体"/>
        </w:rPr>
        <w:t>a</w:t>
      </w:r>
      <w:r>
        <w:rPr>
          <w:rFonts w:hint="eastAsia" w:hAnsi="宋体"/>
        </w:rPr>
        <w:t>）产品规格表（见附录</w:t>
      </w:r>
      <w:r>
        <w:rPr>
          <w:rFonts w:hAnsi="宋体"/>
        </w:rPr>
        <w:t>A</w:t>
      </w:r>
      <w:r>
        <w:rPr>
          <w:rFonts w:hint="eastAsia" w:hAnsi="宋体"/>
        </w:rPr>
        <w:t>）；</w:t>
      </w:r>
    </w:p>
    <w:p>
      <w:pPr>
        <w:pStyle w:val="138"/>
        <w:tabs>
          <w:tab w:val="clear" w:pos="1140"/>
        </w:tabs>
        <w:ind w:left="0" w:firstLine="420" w:firstLineChars="200"/>
        <w:contextualSpacing/>
        <w:rPr>
          <w:rFonts w:hAnsi="宋体"/>
          <w:bCs/>
        </w:rPr>
      </w:pPr>
      <w:r>
        <w:rPr>
          <w:rFonts w:hAnsi="宋体"/>
          <w:bCs/>
        </w:rPr>
        <w:t>b</w:t>
      </w:r>
      <w:r>
        <w:rPr>
          <w:rFonts w:hint="eastAsia" w:hAnsi="宋体"/>
          <w:bCs/>
        </w:rPr>
        <w:t>）样机照片（</w:t>
      </w:r>
      <w:r>
        <w:rPr>
          <w:rFonts w:hint="eastAsia"/>
        </w:rPr>
        <w:t>彩色，左前方45</w:t>
      </w:r>
      <w:r>
        <w:rPr>
          <w:rFonts w:hint="eastAsia" w:hAnsi="宋体"/>
        </w:rPr>
        <w:t>°</w:t>
      </w:r>
      <w:r>
        <w:rPr>
          <w:rFonts w:hint="eastAsia"/>
        </w:rPr>
        <w:t>、右前方45</w:t>
      </w:r>
      <w:r>
        <w:rPr>
          <w:rFonts w:hint="eastAsia" w:hAnsi="宋体"/>
        </w:rPr>
        <w:t>°</w:t>
      </w:r>
      <w:r>
        <w:rPr>
          <w:rFonts w:hint="eastAsia"/>
        </w:rPr>
        <w:t>，正后方，产品铭牌各1张</w:t>
      </w:r>
      <w:r>
        <w:rPr>
          <w:rFonts w:hint="eastAsia" w:hAnsi="宋体"/>
          <w:bCs/>
        </w:rPr>
        <w:t>）；</w:t>
      </w:r>
    </w:p>
    <w:p>
      <w:pPr>
        <w:pStyle w:val="121"/>
        <w:ind w:left="808" w:hanging="388" w:hangingChars="185"/>
        <w:contextualSpacing/>
        <w:jc w:val="left"/>
        <w:rPr>
          <w:rFonts w:hAnsi="宋体"/>
          <w:bCs/>
        </w:rPr>
      </w:pPr>
      <w:r>
        <w:rPr>
          <w:bCs/>
        </w:rPr>
        <w:t>c</w:t>
      </w:r>
      <w:r>
        <w:rPr>
          <w:rFonts w:hint="eastAsia"/>
          <w:bCs/>
        </w:rPr>
        <w:t>）</w:t>
      </w:r>
      <w:r>
        <w:rPr>
          <w:rFonts w:hint="eastAsia"/>
        </w:rPr>
        <w:t>用户名单（应为产品定型后的用户名单，内容包括用户姓名、通讯地址、联系电话、产品型号名称、购机日期等，提供的用户应为作业一个季节以上，分布在3个主要使用（销售）区域，数量为5户)；</w:t>
      </w:r>
    </w:p>
    <w:p>
      <w:pPr>
        <w:pStyle w:val="121"/>
        <w:ind w:left="0" w:leftChars="0" w:firstLine="420" w:firstLineChars="200"/>
        <w:contextualSpacing/>
        <w:rPr>
          <w:bCs/>
        </w:rPr>
      </w:pPr>
      <w:r>
        <w:rPr>
          <w:rFonts w:hint="eastAsia"/>
          <w:bCs/>
        </w:rPr>
        <w:t>d）国家环保主管部门颁发的发动机排放的型式核准证书或等效证明文件（复印件）。</w:t>
      </w:r>
    </w:p>
    <w:p>
      <w:pPr>
        <w:pStyle w:val="121"/>
        <w:ind w:left="0" w:leftChars="0" w:firstLine="420" w:firstLineChars="200"/>
        <w:contextualSpacing/>
        <w:rPr>
          <w:bCs/>
        </w:rPr>
      </w:pPr>
      <w:r>
        <w:rPr>
          <w:rFonts w:hint="eastAsia"/>
          <w:bCs/>
        </w:rPr>
        <w:t>e） 具有资质的产品检验机构出具的可靠性试验报告（如有）。</w:t>
      </w:r>
    </w:p>
    <w:p>
      <w:pPr>
        <w:pStyle w:val="121"/>
        <w:ind w:left="420" w:leftChars="0" w:firstLine="0" w:firstLineChars="0"/>
        <w:contextualSpacing/>
        <w:jc w:val="left"/>
        <w:rPr>
          <w:rFonts w:hAnsi="宋体"/>
        </w:rPr>
      </w:pPr>
      <w:r>
        <w:rPr>
          <w:rFonts w:hint="eastAsia" w:hAnsi="宋体"/>
        </w:rPr>
        <w:t>以上材料需加盖制造商公章。</w:t>
      </w:r>
    </w:p>
    <w:p>
      <w:pPr>
        <w:pStyle w:val="68"/>
        <w:numPr>
          <w:ilvl w:val="1"/>
          <w:numId w:val="12"/>
        </w:numPr>
        <w:spacing w:beforeLines="50" w:afterLines="50"/>
        <w:contextualSpacing/>
        <w:jc w:val="left"/>
        <w:rPr>
          <w:rFonts w:hAnsi="黑体"/>
        </w:rPr>
      </w:pPr>
      <w:r>
        <w:rPr>
          <w:rFonts w:hint="eastAsia" w:hAnsi="黑体"/>
        </w:rPr>
        <w:t>样机确定</w:t>
      </w:r>
    </w:p>
    <w:p>
      <w:pPr>
        <w:pStyle w:val="66"/>
        <w:ind w:firstLine="420"/>
        <w:contextualSpacing/>
        <w:rPr>
          <w:rFonts w:eastAsiaTheme="minorEastAsia"/>
        </w:rPr>
      </w:pPr>
      <w:r>
        <w:rPr>
          <w:rFonts w:eastAsia="Times New Roman"/>
        </w:rPr>
        <w:t>样机由制造商无偿提供且应是</w:t>
      </w:r>
      <w:r>
        <w:rPr>
          <w:rFonts w:hint="eastAsia" w:eastAsia="Times New Roman"/>
        </w:rPr>
        <w:t>12</w:t>
      </w:r>
      <w:r>
        <w:rPr>
          <w:rFonts w:eastAsia="Times New Roman"/>
        </w:rPr>
        <w:t>个月以内生产的合格产品</w:t>
      </w:r>
      <w:r>
        <w:rPr>
          <w:rFonts w:hint="eastAsia" w:eastAsia="Times New Roman"/>
        </w:rPr>
        <w:t>，</w:t>
      </w:r>
      <w:r>
        <w:rPr>
          <w:rFonts w:hint="eastAsia" w:eastAsiaTheme="minorEastAsia"/>
        </w:rPr>
        <w:t>数量为2台，其中1台用于鉴定，1台备用。样机由制造商在规定时间送达指定地点，</w:t>
      </w:r>
      <w:r>
        <w:rPr>
          <w:rFonts w:hint="eastAsia" w:hAnsi="宋体"/>
        </w:rPr>
        <w:t>由鉴定人员验样并经制造商确认后，方可进行鉴定。</w:t>
      </w:r>
      <w:r>
        <w:rPr>
          <w:rFonts w:hint="eastAsia" w:eastAsiaTheme="minorEastAsia"/>
        </w:rPr>
        <w:t>鉴定完成且制造商对鉴定结果无异议后，样机由制造商自行处理。在试验过程中，由于非样机质量原因造成试验无法继续进行时，可以启用备用样机重新试验。</w:t>
      </w:r>
    </w:p>
    <w:p>
      <w:pPr>
        <w:pStyle w:val="68"/>
        <w:numPr>
          <w:ilvl w:val="1"/>
          <w:numId w:val="12"/>
        </w:numPr>
        <w:spacing w:beforeLines="50" w:afterLines="50"/>
        <w:contextualSpacing/>
        <w:jc w:val="left"/>
        <w:rPr>
          <w:rFonts w:hAnsi="黑体"/>
        </w:rPr>
      </w:pPr>
      <w:r>
        <w:rPr>
          <w:rFonts w:hint="eastAsia" w:hAnsi="黑体"/>
        </w:rPr>
        <w:t>生产量和销售量</w:t>
      </w:r>
    </w:p>
    <w:p>
      <w:pPr>
        <w:pStyle w:val="66"/>
        <w:ind w:firstLine="420"/>
      </w:pPr>
      <w:r>
        <w:rPr>
          <w:rFonts w:hint="eastAsia"/>
        </w:rPr>
        <w:t>申请推广鉴定的产品，其累计生产量应不少于5台、销售量应不少于</w:t>
      </w:r>
      <w:r>
        <w:t>5</w:t>
      </w:r>
      <w:r>
        <w:rPr>
          <w:rFonts w:hint="eastAsia"/>
        </w:rPr>
        <w:t>台。</w:t>
      </w:r>
    </w:p>
    <w:p>
      <w:pPr>
        <w:pStyle w:val="68"/>
        <w:numPr>
          <w:ilvl w:val="1"/>
          <w:numId w:val="12"/>
        </w:numPr>
        <w:spacing w:beforeLines="50" w:afterLines="50"/>
        <w:contextualSpacing/>
        <w:jc w:val="left"/>
        <w:rPr>
          <w:rFonts w:hAnsi="黑体"/>
        </w:rPr>
      </w:pPr>
      <w:bookmarkStart w:id="57" w:name="_Toc452449037"/>
      <w:bookmarkStart w:id="58" w:name="_Toc444674735"/>
      <w:bookmarkStart w:id="59" w:name="_Toc455493760"/>
      <w:r>
        <w:rPr>
          <w:rFonts w:hint="eastAsia" w:hAnsi="黑体"/>
        </w:rPr>
        <w:t>参数准确度及仪器设备</w:t>
      </w:r>
      <w:bookmarkEnd w:id="57"/>
      <w:bookmarkEnd w:id="58"/>
      <w:bookmarkEnd w:id="59"/>
    </w:p>
    <w:p>
      <w:pPr>
        <w:autoSpaceDE w:val="0"/>
        <w:autoSpaceDN w:val="0"/>
        <w:ind w:firstLine="420" w:firstLineChars="200"/>
        <w:contextualSpacing/>
        <w:rPr>
          <w:rFonts w:ascii="宋体"/>
        </w:rPr>
      </w:pPr>
      <w:r>
        <w:rPr>
          <w:rFonts w:hint="eastAsia" w:ascii="宋体" w:hAnsi="宋体"/>
        </w:rPr>
        <w:t>被测参数的准确度要求见表</w:t>
      </w:r>
      <w:r>
        <w:rPr>
          <w:rFonts w:ascii="宋体" w:hAnsi="宋体"/>
        </w:rPr>
        <w:t>1</w:t>
      </w:r>
      <w:r>
        <w:rPr>
          <w:rFonts w:hint="eastAsia" w:ascii="宋体" w:hAnsi="宋体"/>
        </w:rPr>
        <w:t>。选用仪器设备的量程和准确度应与表</w:t>
      </w:r>
      <w:r>
        <w:rPr>
          <w:rFonts w:ascii="宋体" w:hAnsi="宋体"/>
        </w:rPr>
        <w:t>1</w:t>
      </w:r>
      <w:r>
        <w:rPr>
          <w:rFonts w:hint="eastAsia" w:ascii="宋体" w:hAnsi="宋体"/>
        </w:rPr>
        <w:t>的要求相匹配。试验用仪器设备应经过计量检定或校准且在有效期内。</w:t>
      </w:r>
    </w:p>
    <w:p>
      <w:pPr>
        <w:pStyle w:val="117"/>
        <w:numPr>
          <w:ilvl w:val="0"/>
          <w:numId w:val="0"/>
        </w:numPr>
      </w:pPr>
      <w:r>
        <w:rPr>
          <w:rFonts w:hint="eastAsia"/>
        </w:rPr>
        <w:t>表</w:t>
      </w:r>
      <w:r>
        <w:t xml:space="preserve">1  </w:t>
      </w:r>
      <w:r>
        <w:rPr>
          <w:rFonts w:hint="eastAsia"/>
        </w:rPr>
        <w:t>被测参数准确度要求</w:t>
      </w:r>
    </w:p>
    <w:tbl>
      <w:tblPr>
        <w:tblStyle w:val="2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51"/>
        <w:gridCol w:w="2936"/>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序号</w:t>
            </w:r>
          </w:p>
        </w:tc>
        <w:tc>
          <w:tcPr>
            <w:tcW w:w="2351"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被测参数名称</w:t>
            </w: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测量范围</w:t>
            </w:r>
          </w:p>
        </w:tc>
        <w:tc>
          <w:tcPr>
            <w:tcW w:w="3440"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Merge w:val="restart"/>
            <w:vAlign w:val="center"/>
          </w:tcPr>
          <w:p>
            <w:pPr>
              <w:pStyle w:val="66"/>
              <w:spacing w:line="200" w:lineRule="exact"/>
              <w:ind w:firstLine="270" w:firstLineChars="150"/>
              <w:contextualSpacing/>
              <w:rPr>
                <w:rFonts w:hAnsi="宋体"/>
                <w:sz w:val="18"/>
                <w:szCs w:val="18"/>
              </w:rPr>
            </w:pPr>
            <w:r>
              <w:rPr>
                <w:rFonts w:hint="eastAsia" w:hAnsi="宋体"/>
                <w:sz w:val="18"/>
                <w:szCs w:val="18"/>
              </w:rPr>
              <w:t>1</w:t>
            </w:r>
          </w:p>
        </w:tc>
        <w:tc>
          <w:tcPr>
            <w:tcW w:w="2351" w:type="dxa"/>
            <w:vMerge w:val="restart"/>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长度</w:t>
            </w: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≥5 m</w:t>
            </w:r>
          </w:p>
        </w:tc>
        <w:tc>
          <w:tcPr>
            <w:tcW w:w="3440"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Merge w:val="continue"/>
            <w:vAlign w:val="center"/>
          </w:tcPr>
          <w:p>
            <w:pPr>
              <w:pStyle w:val="66"/>
              <w:spacing w:line="200" w:lineRule="exact"/>
              <w:ind w:firstLine="270" w:firstLineChars="150"/>
              <w:contextualSpacing/>
              <w:rPr>
                <w:rFonts w:hAnsi="宋体"/>
                <w:sz w:val="18"/>
                <w:szCs w:val="18"/>
              </w:rPr>
            </w:pPr>
          </w:p>
        </w:tc>
        <w:tc>
          <w:tcPr>
            <w:tcW w:w="2351" w:type="dxa"/>
            <w:vMerge w:val="continue"/>
            <w:vAlign w:val="center"/>
          </w:tcPr>
          <w:p>
            <w:pPr>
              <w:pStyle w:val="66"/>
              <w:spacing w:line="200" w:lineRule="exact"/>
              <w:ind w:firstLine="0" w:firstLineChars="0"/>
              <w:contextualSpacing/>
              <w:jc w:val="center"/>
              <w:rPr>
                <w:rFonts w:hAnsi="宋体"/>
                <w:sz w:val="18"/>
                <w:szCs w:val="18"/>
              </w:rPr>
            </w:pP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 m～5 m</w:t>
            </w:r>
          </w:p>
        </w:tc>
        <w:tc>
          <w:tcPr>
            <w:tcW w:w="3440"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Merge w:val="continue"/>
            <w:vAlign w:val="center"/>
          </w:tcPr>
          <w:p>
            <w:pPr>
              <w:pStyle w:val="66"/>
              <w:spacing w:line="200" w:lineRule="exact"/>
              <w:ind w:firstLine="270" w:firstLineChars="150"/>
              <w:contextualSpacing/>
              <w:rPr>
                <w:rFonts w:hAnsi="宋体"/>
                <w:sz w:val="18"/>
                <w:szCs w:val="18"/>
              </w:rPr>
            </w:pPr>
          </w:p>
        </w:tc>
        <w:tc>
          <w:tcPr>
            <w:tcW w:w="2351" w:type="dxa"/>
            <w:vMerge w:val="continue"/>
            <w:vAlign w:val="center"/>
          </w:tcPr>
          <w:p>
            <w:pPr>
              <w:pStyle w:val="66"/>
              <w:spacing w:line="200" w:lineRule="exact"/>
              <w:ind w:firstLine="0" w:firstLineChars="0"/>
              <w:contextualSpacing/>
              <w:jc w:val="center"/>
              <w:rPr>
                <w:rFonts w:hAnsi="宋体"/>
                <w:sz w:val="18"/>
                <w:szCs w:val="18"/>
              </w:rPr>
            </w:pP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 cm～30 cm</w:t>
            </w:r>
          </w:p>
        </w:tc>
        <w:tc>
          <w:tcPr>
            <w:tcW w:w="3440"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Merge w:val="restart"/>
            <w:vAlign w:val="center"/>
          </w:tcPr>
          <w:p>
            <w:pPr>
              <w:pStyle w:val="66"/>
              <w:spacing w:line="200" w:lineRule="exact"/>
              <w:ind w:firstLine="270" w:firstLineChars="150"/>
              <w:contextualSpacing/>
              <w:rPr>
                <w:rFonts w:hAnsi="宋体"/>
                <w:sz w:val="18"/>
                <w:szCs w:val="18"/>
              </w:rPr>
            </w:pPr>
            <w:r>
              <w:rPr>
                <w:rFonts w:hint="eastAsia" w:hAnsi="宋体"/>
                <w:sz w:val="18"/>
                <w:szCs w:val="18"/>
              </w:rPr>
              <w:t>2</w:t>
            </w:r>
          </w:p>
        </w:tc>
        <w:tc>
          <w:tcPr>
            <w:tcW w:w="2351" w:type="dxa"/>
            <w:vMerge w:val="restart"/>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质量</w:t>
            </w: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 kg～30 kg</w:t>
            </w:r>
          </w:p>
        </w:tc>
        <w:tc>
          <w:tcPr>
            <w:tcW w:w="3440"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0.05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Merge w:val="continue"/>
            <w:vAlign w:val="center"/>
          </w:tcPr>
          <w:p>
            <w:pPr>
              <w:pStyle w:val="66"/>
              <w:spacing w:line="200" w:lineRule="exact"/>
              <w:ind w:firstLine="270" w:firstLineChars="150"/>
              <w:contextualSpacing/>
              <w:rPr>
                <w:rFonts w:hAnsi="宋体"/>
                <w:sz w:val="18"/>
                <w:szCs w:val="18"/>
              </w:rPr>
            </w:pPr>
          </w:p>
        </w:tc>
        <w:tc>
          <w:tcPr>
            <w:tcW w:w="2351" w:type="dxa"/>
            <w:vMerge w:val="continue"/>
            <w:vAlign w:val="center"/>
          </w:tcPr>
          <w:p>
            <w:pPr>
              <w:pStyle w:val="66"/>
              <w:spacing w:line="200" w:lineRule="exact"/>
              <w:ind w:firstLine="0" w:firstLineChars="0"/>
              <w:contextualSpacing/>
              <w:jc w:val="center"/>
              <w:rPr>
                <w:rFonts w:hAnsi="宋体"/>
                <w:sz w:val="18"/>
                <w:szCs w:val="18"/>
              </w:rPr>
            </w:pP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 kg～6 kg</w:t>
            </w:r>
          </w:p>
        </w:tc>
        <w:tc>
          <w:tcPr>
            <w:tcW w:w="3440"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0.1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Align w:val="center"/>
          </w:tcPr>
          <w:p>
            <w:pPr>
              <w:pStyle w:val="66"/>
              <w:spacing w:line="200" w:lineRule="exact"/>
              <w:ind w:firstLine="0" w:firstLineChars="0"/>
              <w:contextualSpacing/>
              <w:jc w:val="center"/>
              <w:rPr>
                <w:rFonts w:hAnsi="宋体"/>
                <w:sz w:val="18"/>
              </w:rPr>
            </w:pPr>
            <w:r>
              <w:rPr>
                <w:rFonts w:hint="eastAsia" w:hAnsi="宋体"/>
                <w:sz w:val="18"/>
              </w:rPr>
              <w:t>3</w:t>
            </w:r>
          </w:p>
        </w:tc>
        <w:tc>
          <w:tcPr>
            <w:tcW w:w="2351" w:type="dxa"/>
            <w:vAlign w:val="center"/>
          </w:tcPr>
          <w:p>
            <w:pPr>
              <w:spacing w:line="200" w:lineRule="exact"/>
              <w:contextualSpacing/>
              <w:jc w:val="center"/>
              <w:rPr>
                <w:rFonts w:ascii="宋体"/>
                <w:sz w:val="18"/>
                <w:szCs w:val="21"/>
              </w:rPr>
            </w:pPr>
            <w:r>
              <w:rPr>
                <w:rFonts w:hint="eastAsia" w:ascii="宋体"/>
                <w:sz w:val="18"/>
                <w:szCs w:val="21"/>
              </w:rPr>
              <w:t>时间</w:t>
            </w:r>
          </w:p>
        </w:tc>
        <w:tc>
          <w:tcPr>
            <w:tcW w:w="2936" w:type="dxa"/>
            <w:vAlign w:val="center"/>
          </w:tcPr>
          <w:p>
            <w:pPr>
              <w:pStyle w:val="66"/>
              <w:spacing w:line="200" w:lineRule="exact"/>
              <w:ind w:firstLine="0" w:firstLineChars="0"/>
              <w:contextualSpacing/>
              <w:jc w:val="center"/>
              <w:rPr>
                <w:rFonts w:hAnsi="宋体"/>
                <w:b/>
                <w:sz w:val="18"/>
              </w:rPr>
            </w:pPr>
            <w:r>
              <w:rPr>
                <w:rFonts w:hint="eastAsia" w:hAnsi="宋体"/>
                <w:sz w:val="18"/>
                <w:szCs w:val="18"/>
              </w:rPr>
              <w:t>0 h～24 h</w:t>
            </w:r>
          </w:p>
        </w:tc>
        <w:tc>
          <w:tcPr>
            <w:tcW w:w="3440" w:type="dxa"/>
            <w:vAlign w:val="center"/>
          </w:tcPr>
          <w:p>
            <w:pPr>
              <w:spacing w:line="200" w:lineRule="exact"/>
              <w:contextualSpacing/>
              <w:jc w:val="center"/>
              <w:rPr>
                <w:rFonts w:ascii="宋体" w:hAnsi="宋体"/>
                <w:sz w:val="18"/>
              </w:rPr>
            </w:pPr>
            <w:r>
              <w:rPr>
                <w:rFonts w:hint="eastAsia" w:ascii="宋体" w:hAnsi="宋体"/>
                <w:sz w:val="18"/>
              </w:rPr>
              <w:t>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Align w:val="center"/>
          </w:tcPr>
          <w:p>
            <w:pPr>
              <w:pStyle w:val="66"/>
              <w:spacing w:line="200" w:lineRule="exact"/>
              <w:ind w:firstLine="0" w:firstLineChars="0"/>
              <w:contextualSpacing/>
              <w:jc w:val="center"/>
              <w:rPr>
                <w:rFonts w:hAnsi="宋体"/>
                <w:sz w:val="18"/>
              </w:rPr>
            </w:pPr>
            <w:r>
              <w:rPr>
                <w:rFonts w:hint="eastAsia" w:hAnsi="宋体"/>
                <w:sz w:val="18"/>
              </w:rPr>
              <w:t>4</w:t>
            </w:r>
          </w:p>
        </w:tc>
        <w:tc>
          <w:tcPr>
            <w:tcW w:w="2351"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噪声</w:t>
            </w:r>
          </w:p>
        </w:tc>
        <w:tc>
          <w:tcPr>
            <w:tcW w:w="2936" w:type="dxa"/>
            <w:vAlign w:val="center"/>
          </w:tcPr>
          <w:p>
            <w:pPr>
              <w:pStyle w:val="66"/>
              <w:spacing w:line="200" w:lineRule="exact"/>
              <w:ind w:firstLine="0" w:firstLineChars="0"/>
              <w:contextualSpacing/>
              <w:jc w:val="center"/>
              <w:rPr>
                <w:rFonts w:hAnsi="宋体"/>
                <w:sz w:val="18"/>
                <w:szCs w:val="18"/>
              </w:rPr>
            </w:pPr>
            <w:r>
              <w:rPr>
                <w:rFonts w:hint="eastAsia" w:hAnsi="宋体"/>
                <w:sz w:val="18"/>
                <w:szCs w:val="18"/>
              </w:rPr>
              <w:t>34 dB（A）～130 dB（A）</w:t>
            </w:r>
          </w:p>
        </w:tc>
        <w:tc>
          <w:tcPr>
            <w:tcW w:w="3440" w:type="dxa"/>
            <w:vAlign w:val="center"/>
          </w:tcPr>
          <w:p>
            <w:pPr>
              <w:spacing w:line="200" w:lineRule="exact"/>
              <w:contextualSpacing/>
              <w:jc w:val="center"/>
              <w:rPr>
                <w:rFonts w:ascii="宋体" w:hAnsi="宋体"/>
                <w:sz w:val="18"/>
              </w:rPr>
            </w:pPr>
            <w:r>
              <w:rPr>
                <w:rFonts w:hint="eastAsia" w:ascii="宋体" w:hAnsi="宋体"/>
                <w:sz w:val="18"/>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Align w:val="center"/>
          </w:tcPr>
          <w:p>
            <w:pPr>
              <w:pStyle w:val="66"/>
              <w:spacing w:line="200" w:lineRule="exact"/>
              <w:ind w:firstLine="0" w:firstLineChars="0"/>
              <w:contextualSpacing/>
              <w:jc w:val="center"/>
              <w:rPr>
                <w:rFonts w:hAnsi="宋体"/>
                <w:sz w:val="18"/>
              </w:rPr>
            </w:pPr>
            <w:r>
              <w:rPr>
                <w:rFonts w:hint="eastAsia" w:hAnsi="宋体"/>
                <w:sz w:val="18"/>
              </w:rPr>
              <w:t>5</w:t>
            </w:r>
          </w:p>
        </w:tc>
        <w:tc>
          <w:tcPr>
            <w:tcW w:w="2351" w:type="dxa"/>
            <w:vAlign w:val="center"/>
          </w:tcPr>
          <w:p>
            <w:pPr>
              <w:spacing w:line="200" w:lineRule="exact"/>
              <w:contextualSpacing/>
              <w:jc w:val="center"/>
              <w:rPr>
                <w:rFonts w:ascii="宋体" w:hAnsi="宋体"/>
                <w:sz w:val="18"/>
                <w:szCs w:val="21"/>
              </w:rPr>
            </w:pPr>
            <w:r>
              <w:rPr>
                <w:rFonts w:hint="eastAsia" w:ascii="宋体" w:hAnsi="宋体"/>
                <w:sz w:val="18"/>
                <w:szCs w:val="21"/>
              </w:rPr>
              <w:t>温度</w:t>
            </w:r>
          </w:p>
        </w:tc>
        <w:tc>
          <w:tcPr>
            <w:tcW w:w="2936" w:type="dxa"/>
            <w:vAlign w:val="center"/>
          </w:tcPr>
          <w:p>
            <w:pPr>
              <w:spacing w:line="200" w:lineRule="exact"/>
              <w:contextualSpacing/>
              <w:jc w:val="center"/>
              <w:rPr>
                <w:rFonts w:ascii="宋体" w:hAnsi="宋体"/>
                <w:sz w:val="18"/>
              </w:rPr>
            </w:pPr>
            <w:r>
              <w:rPr>
                <w:rFonts w:hint="eastAsia" w:ascii="宋体" w:hAnsi="宋体"/>
                <w:sz w:val="18"/>
              </w:rPr>
              <w:t>-10 ℃</w:t>
            </w:r>
            <w:r>
              <w:rPr>
                <w:rFonts w:hint="eastAsia" w:hAnsi="宋体"/>
                <w:sz w:val="18"/>
                <w:szCs w:val="18"/>
              </w:rPr>
              <w:t>～50 ℃</w:t>
            </w:r>
          </w:p>
        </w:tc>
        <w:tc>
          <w:tcPr>
            <w:tcW w:w="3440" w:type="dxa"/>
            <w:vAlign w:val="center"/>
          </w:tcPr>
          <w:p>
            <w:pPr>
              <w:spacing w:line="200" w:lineRule="exact"/>
              <w:contextualSpacing/>
              <w:jc w:val="center"/>
              <w:rPr>
                <w:rFonts w:ascii="宋体" w:hAnsi="宋体"/>
                <w:sz w:val="18"/>
              </w:rPr>
            </w:pPr>
            <w:r>
              <w:rPr>
                <w:rFonts w:hint="eastAsia" w:ascii="宋体" w:hAnsi="宋体"/>
                <w:sz w:val="1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Align w:val="center"/>
          </w:tcPr>
          <w:p>
            <w:pPr>
              <w:pStyle w:val="66"/>
              <w:spacing w:line="200" w:lineRule="exact"/>
              <w:ind w:firstLine="0" w:firstLineChars="0"/>
              <w:contextualSpacing/>
              <w:jc w:val="center"/>
              <w:rPr>
                <w:rFonts w:hAnsi="宋体"/>
                <w:sz w:val="18"/>
              </w:rPr>
            </w:pPr>
            <w:r>
              <w:rPr>
                <w:rFonts w:hint="eastAsia" w:hAnsi="宋体"/>
                <w:sz w:val="18"/>
              </w:rPr>
              <w:t>6</w:t>
            </w:r>
          </w:p>
        </w:tc>
        <w:tc>
          <w:tcPr>
            <w:tcW w:w="2351" w:type="dxa"/>
            <w:vAlign w:val="center"/>
          </w:tcPr>
          <w:p>
            <w:pPr>
              <w:spacing w:line="200" w:lineRule="exact"/>
              <w:contextualSpacing/>
              <w:jc w:val="center"/>
              <w:rPr>
                <w:rFonts w:ascii="宋体" w:hAnsi="宋体"/>
                <w:sz w:val="18"/>
                <w:szCs w:val="21"/>
              </w:rPr>
            </w:pPr>
            <w:r>
              <w:rPr>
                <w:rFonts w:hint="eastAsia" w:ascii="宋体" w:hAnsi="宋体"/>
                <w:sz w:val="18"/>
                <w:szCs w:val="21"/>
              </w:rPr>
              <w:t>湿度</w:t>
            </w:r>
          </w:p>
        </w:tc>
        <w:tc>
          <w:tcPr>
            <w:tcW w:w="2936" w:type="dxa"/>
            <w:vAlign w:val="center"/>
          </w:tcPr>
          <w:p>
            <w:pPr>
              <w:spacing w:line="200" w:lineRule="exact"/>
              <w:contextualSpacing/>
              <w:jc w:val="center"/>
              <w:rPr>
                <w:rFonts w:ascii="宋体" w:hAnsi="宋体"/>
                <w:sz w:val="18"/>
              </w:rPr>
            </w:pPr>
            <w:r>
              <w:rPr>
                <w:rFonts w:hint="eastAsia" w:ascii="宋体" w:hAnsi="宋体"/>
                <w:sz w:val="18"/>
              </w:rPr>
              <w:t>20 %RH～80 %RH</w:t>
            </w:r>
          </w:p>
        </w:tc>
        <w:tc>
          <w:tcPr>
            <w:tcW w:w="3440" w:type="dxa"/>
            <w:vAlign w:val="center"/>
          </w:tcPr>
          <w:p>
            <w:pPr>
              <w:spacing w:line="200" w:lineRule="exact"/>
              <w:contextualSpacing/>
              <w:jc w:val="center"/>
              <w:rPr>
                <w:rFonts w:ascii="宋体" w:hAnsi="宋体"/>
                <w:sz w:val="18"/>
              </w:rPr>
            </w:pPr>
            <w:r>
              <w:rPr>
                <w:rFonts w:hint="eastAsia" w:ascii="宋体" w:hAnsi="宋体"/>
                <w:sz w:val="18"/>
              </w:rPr>
              <w:t>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44" w:type="dxa"/>
            <w:vAlign w:val="center"/>
          </w:tcPr>
          <w:p>
            <w:pPr>
              <w:pStyle w:val="66"/>
              <w:spacing w:line="200" w:lineRule="exact"/>
              <w:ind w:firstLine="0" w:firstLineChars="0"/>
              <w:contextualSpacing/>
              <w:jc w:val="center"/>
              <w:rPr>
                <w:rFonts w:hAnsi="宋体"/>
                <w:sz w:val="18"/>
              </w:rPr>
            </w:pPr>
            <w:r>
              <w:rPr>
                <w:rFonts w:hint="eastAsia" w:hAnsi="宋体"/>
                <w:sz w:val="18"/>
              </w:rPr>
              <w:t>7</w:t>
            </w:r>
          </w:p>
        </w:tc>
        <w:tc>
          <w:tcPr>
            <w:tcW w:w="2351" w:type="dxa"/>
            <w:vAlign w:val="center"/>
          </w:tcPr>
          <w:p>
            <w:pPr>
              <w:spacing w:line="200" w:lineRule="exact"/>
              <w:contextualSpacing/>
              <w:jc w:val="center"/>
              <w:rPr>
                <w:rFonts w:ascii="宋体" w:hAnsi="宋体"/>
                <w:sz w:val="18"/>
                <w:szCs w:val="21"/>
              </w:rPr>
            </w:pPr>
            <w:r>
              <w:rPr>
                <w:rFonts w:hint="eastAsia" w:ascii="宋体" w:hAnsi="宋体"/>
                <w:sz w:val="18"/>
                <w:szCs w:val="21"/>
              </w:rPr>
              <w:t>风速</w:t>
            </w:r>
          </w:p>
        </w:tc>
        <w:tc>
          <w:tcPr>
            <w:tcW w:w="2936" w:type="dxa"/>
            <w:vAlign w:val="center"/>
          </w:tcPr>
          <w:p>
            <w:pPr>
              <w:spacing w:line="200" w:lineRule="exact"/>
              <w:contextualSpacing/>
              <w:jc w:val="center"/>
              <w:rPr>
                <w:rFonts w:ascii="宋体" w:hAnsi="宋体"/>
                <w:sz w:val="18"/>
              </w:rPr>
            </w:pPr>
            <w:r>
              <w:rPr>
                <w:rFonts w:hint="eastAsia" w:ascii="宋体" w:hAnsi="宋体"/>
                <w:sz w:val="18"/>
              </w:rPr>
              <w:t>0 m/s～10 m/s</w:t>
            </w:r>
          </w:p>
        </w:tc>
        <w:tc>
          <w:tcPr>
            <w:tcW w:w="3440" w:type="dxa"/>
            <w:vAlign w:val="center"/>
          </w:tcPr>
          <w:p>
            <w:pPr>
              <w:spacing w:line="200" w:lineRule="exact"/>
              <w:contextualSpacing/>
              <w:jc w:val="center"/>
              <w:rPr>
                <w:rFonts w:ascii="宋体" w:hAnsi="宋体"/>
                <w:sz w:val="18"/>
              </w:rPr>
            </w:pPr>
            <w:r>
              <w:rPr>
                <w:rFonts w:hint="eastAsia" w:ascii="宋体" w:hAnsi="宋体"/>
                <w:sz w:val="18"/>
              </w:rPr>
              <w:t>0.5 m/s</w:t>
            </w:r>
          </w:p>
        </w:tc>
      </w:tr>
      <w:bookmarkEnd w:id="51"/>
      <w:bookmarkEnd w:id="52"/>
      <w:bookmarkEnd w:id="53"/>
      <w:bookmarkEnd w:id="54"/>
      <w:bookmarkEnd w:id="55"/>
      <w:bookmarkEnd w:id="56"/>
    </w:tbl>
    <w:p>
      <w:pPr>
        <w:pStyle w:val="68"/>
        <w:spacing w:line="120" w:lineRule="exact"/>
        <w:contextualSpacing/>
        <w:jc w:val="left"/>
        <w:rPr>
          <w:rFonts w:hAnsi="黑体"/>
        </w:rPr>
      </w:pPr>
      <w:bookmarkStart w:id="60" w:name="_Toc455493761"/>
      <w:bookmarkStart w:id="61" w:name="_Toc452449038"/>
    </w:p>
    <w:bookmarkEnd w:id="60"/>
    <w:bookmarkEnd w:id="61"/>
    <w:p>
      <w:pPr>
        <w:pStyle w:val="67"/>
        <w:numPr>
          <w:ilvl w:val="1"/>
          <w:numId w:val="1"/>
        </w:numPr>
        <w:spacing w:beforeLines="100" w:afterLines="100"/>
        <w:contextualSpacing/>
      </w:pPr>
      <w:bookmarkStart w:id="62" w:name="_Toc455493763"/>
      <w:r>
        <w:rPr>
          <w:rFonts w:hint="eastAsia"/>
        </w:rPr>
        <w:t>初次鉴定</w:t>
      </w:r>
      <w:bookmarkEnd w:id="62"/>
    </w:p>
    <w:p>
      <w:pPr>
        <w:pStyle w:val="68"/>
        <w:numPr>
          <w:ilvl w:val="1"/>
          <w:numId w:val="13"/>
        </w:numPr>
        <w:spacing w:beforeLines="50" w:afterLines="50"/>
        <w:jc w:val="left"/>
        <w:rPr>
          <w:rFonts w:hAnsi="黑体"/>
        </w:rPr>
      </w:pPr>
      <w:bookmarkStart w:id="63" w:name="_Toc455493764"/>
      <w:bookmarkStart w:id="64" w:name="_Toc452449041"/>
      <w:r>
        <w:rPr>
          <w:rFonts w:hint="eastAsia" w:hAnsi="黑体"/>
        </w:rPr>
        <w:t>一致性检查</w:t>
      </w:r>
      <w:bookmarkEnd w:id="63"/>
      <w:bookmarkEnd w:id="64"/>
    </w:p>
    <w:p>
      <w:pPr>
        <w:pStyle w:val="66"/>
        <w:spacing w:line="40" w:lineRule="exact"/>
        <w:ind w:firstLine="420"/>
      </w:pPr>
    </w:p>
    <w:p>
      <w:pPr>
        <w:pStyle w:val="68"/>
        <w:numPr>
          <w:ilvl w:val="2"/>
          <w:numId w:val="13"/>
        </w:numPr>
        <w:spacing w:beforeLines="50" w:afterLines="50"/>
        <w:ind w:hangingChars="343"/>
        <w:contextualSpacing/>
        <w:jc w:val="left"/>
      </w:pPr>
      <w:r>
        <w:rPr>
          <w:rFonts w:hint="eastAsia"/>
        </w:rPr>
        <w:t>检查内容和方法</w:t>
      </w:r>
    </w:p>
    <w:p>
      <w:pPr>
        <w:pStyle w:val="69"/>
        <w:numPr>
          <w:ilvl w:val="0"/>
          <w:numId w:val="0"/>
        </w:numPr>
        <w:ind w:firstLine="420" w:firstLineChars="200"/>
        <w:contextualSpacing/>
        <w:rPr>
          <w:rFonts w:ascii="宋体" w:hAnsi="宋体" w:eastAsia="宋体"/>
        </w:rPr>
      </w:pPr>
      <w:bookmarkStart w:id="65" w:name="_Toc455493423"/>
      <w:bookmarkStart w:id="66" w:name="_Toc455493766"/>
      <w:r>
        <w:rPr>
          <w:rFonts w:hint="eastAsia" w:ascii="宋体" w:hAnsi="宋体" w:eastAsia="宋体"/>
        </w:rPr>
        <w:t>一致性检查的项目、允许变化的限制范围及检查方法见表2。制造商填报的产品规格表的设计值应与其提供的产品执行标准、产品使用说明书所描述的产品技术规格值相一致。对照产品规格表的设计值对样机的相应项目进行一致性检查。</w:t>
      </w:r>
      <w:bookmarkEnd w:id="65"/>
      <w:bookmarkEnd w:id="66"/>
    </w:p>
    <w:p>
      <w:pPr>
        <w:pStyle w:val="117"/>
        <w:keepNext/>
        <w:widowControl w:val="0"/>
        <w:numPr>
          <w:ilvl w:val="0"/>
          <w:numId w:val="0"/>
        </w:numPr>
      </w:pPr>
      <w:r>
        <w:rPr>
          <w:rFonts w:hint="eastAsia"/>
        </w:rPr>
        <w:t>表2一致性检查项目、允许变化的限制范围及检查方法</w:t>
      </w:r>
    </w:p>
    <w:tbl>
      <w:tblPr>
        <w:tblStyle w:val="2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829"/>
        <w:gridCol w:w="1411"/>
        <w:gridCol w:w="2255"/>
        <w:gridCol w:w="112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序号</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检查项目</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限制范围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检查方法</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自走式</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其他型式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型号名称</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核对产品铭牌</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配套发动机额定功率</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核对发动机铭牌</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3</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配套发动机</w:t>
            </w:r>
            <w:r>
              <w:rPr>
                <w:rFonts w:hAnsi="宋体"/>
                <w:sz w:val="18"/>
                <w:szCs w:val="18"/>
              </w:rPr>
              <w:t>额定转速</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核对发动机铭牌</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4</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整机</w:t>
            </w:r>
            <w:r>
              <w:rPr>
                <w:rFonts w:hAnsi="宋体"/>
                <w:sz w:val="18"/>
                <w:szCs w:val="18"/>
              </w:rPr>
              <w:t>外形尺寸</w:t>
            </w:r>
            <w:r>
              <w:rPr>
                <w:rFonts w:hint="eastAsia" w:hAnsi="宋体"/>
                <w:sz w:val="18"/>
                <w:szCs w:val="18"/>
              </w:rPr>
              <w:t>（长×宽×高）</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w:t>
            </w:r>
            <w:r>
              <w:rPr>
                <w:rFonts w:hint="eastAsia" w:hAnsi="宋体"/>
                <w:sz w:val="18"/>
                <w:szCs w:val="18"/>
              </w:rPr>
              <w:t>为5%</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w:t>
            </w:r>
            <w:r>
              <w:rPr>
                <w:rFonts w:hint="eastAsia" w:hAnsi="宋体"/>
                <w:sz w:val="18"/>
                <w:szCs w:val="18"/>
              </w:rPr>
              <w:t>（包容样机最小长方体的长、宽、高）</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b/>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5</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工作幅宽</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w:t>
            </w:r>
            <w:r>
              <w:rPr>
                <w:rFonts w:hint="eastAsia" w:hAnsi="宋体"/>
                <w:sz w:val="18"/>
                <w:szCs w:val="18"/>
              </w:rPr>
              <w:t>为5%</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w:t>
            </w:r>
            <w:r>
              <w:rPr>
                <w:rFonts w:hint="eastAsia" w:hAnsi="宋体"/>
                <w:sz w:val="18"/>
                <w:szCs w:val="18"/>
              </w:rPr>
              <w:t>（最外侧两个分禾器尖间距离）</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6</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收获行数</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7</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拉茎辊型式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8</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葵盘处理方式（抛撒、集盘箱）</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9</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拨禾喂入轮型式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10</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拨禾喂入轮直径</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w:t>
            </w:r>
            <w:r>
              <w:rPr>
                <w:rFonts w:hint="eastAsia" w:hAnsi="宋体"/>
                <w:sz w:val="18"/>
                <w:szCs w:val="18"/>
              </w:rPr>
              <w:t>为3%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测量喂入轮回转时外圆对应的直径</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11</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割台升降方式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12</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脱粒机构型式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13</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脱粒滚筒数量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b/>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14</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清选型式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15</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驱动方式（两驱、四驱）</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16</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驱动桥型式（前、后）</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17</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制动器型式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18</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驾驶室型式</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19</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轴距</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w:t>
            </w:r>
            <w:r>
              <w:rPr>
                <w:rFonts w:hint="eastAsia" w:hAnsi="宋体"/>
                <w:sz w:val="18"/>
                <w:szCs w:val="18"/>
              </w:rPr>
              <w:t>为3%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w:t>
            </w:r>
            <w:r>
              <w:rPr>
                <w:rFonts w:hint="eastAsia" w:hAnsi="宋体"/>
                <w:sz w:val="18"/>
                <w:szCs w:val="18"/>
              </w:rPr>
              <w:t>（前、后轴两个中心线间距离）</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20</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前轮轮距</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w:t>
            </w:r>
            <w:r>
              <w:rPr>
                <w:rFonts w:hint="eastAsia" w:hAnsi="宋体"/>
                <w:sz w:val="18"/>
                <w:szCs w:val="18"/>
              </w:rPr>
              <w:t>为3%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w:t>
            </w:r>
            <w:r>
              <w:rPr>
                <w:rFonts w:hint="eastAsia" w:hAnsi="宋体"/>
                <w:sz w:val="18"/>
                <w:szCs w:val="18"/>
              </w:rPr>
              <w:t>（左右两个轮中心间距离）</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21</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后轮轮距</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w:t>
            </w:r>
            <w:r>
              <w:rPr>
                <w:rFonts w:hint="eastAsia" w:hAnsi="宋体"/>
                <w:sz w:val="18"/>
                <w:szCs w:val="18"/>
              </w:rPr>
              <w:t>为3%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w:t>
            </w:r>
            <w:r>
              <w:rPr>
                <w:rFonts w:hint="eastAsia" w:hAnsi="宋体"/>
                <w:sz w:val="18"/>
                <w:szCs w:val="18"/>
              </w:rPr>
              <w:t>（左右两个轮中心间距离）</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22</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前轮轮胎规格</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23</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后轮</w:t>
            </w:r>
            <w:r>
              <w:rPr>
                <w:rFonts w:hint="eastAsia" w:hAnsi="宋体"/>
                <w:sz w:val="18"/>
                <w:szCs w:val="18"/>
              </w:rPr>
              <w:t>轮胎规格</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一致</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核对</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24</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履带</w:t>
            </w:r>
            <w:r>
              <w:rPr>
                <w:rFonts w:hAnsi="宋体"/>
                <w:sz w:val="18"/>
                <w:szCs w:val="18"/>
              </w:rPr>
              <w:t>宽度</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w:t>
            </w:r>
            <w:r>
              <w:rPr>
                <w:rFonts w:hAnsi="宋体"/>
                <w:sz w:val="18"/>
                <w:szCs w:val="18"/>
              </w:rPr>
              <w:t>偏差为</w:t>
            </w:r>
            <w:r>
              <w:rPr>
                <w:rFonts w:hint="eastAsia" w:hAnsi="宋体"/>
                <w:sz w:val="18"/>
                <w:szCs w:val="18"/>
              </w:rPr>
              <w:t>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测量履带的宽度</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25</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履带接地长</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允许偏差为</w:t>
            </w:r>
            <w:r>
              <w:rPr>
                <w:rFonts w:hint="eastAsia" w:hAnsi="宋体"/>
                <w:sz w:val="18"/>
                <w:szCs w:val="18"/>
              </w:rPr>
              <w:t>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测量前后最外端两支重轮中心之间距离</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26</w:t>
            </w:r>
          </w:p>
        </w:tc>
        <w:tc>
          <w:tcPr>
            <w:tcW w:w="282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履带轨距</w:t>
            </w:r>
          </w:p>
        </w:tc>
        <w:tc>
          <w:tcPr>
            <w:tcW w:w="1411"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允许偏差为</w:t>
            </w:r>
            <w:r>
              <w:rPr>
                <w:rFonts w:hint="eastAsia" w:hAnsi="宋体"/>
                <w:sz w:val="18"/>
                <w:szCs w:val="18"/>
              </w:rPr>
              <w:t>3%</w:t>
            </w:r>
          </w:p>
        </w:tc>
        <w:tc>
          <w:tcPr>
            <w:tcW w:w="225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测量两条履带中心线之间距离</w:t>
            </w:r>
          </w:p>
        </w:tc>
        <w:tc>
          <w:tcPr>
            <w:tcW w:w="112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27"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备注</w:t>
            </w:r>
          </w:p>
        </w:tc>
        <w:tc>
          <w:tcPr>
            <w:tcW w:w="8748" w:type="dxa"/>
            <w:gridSpan w:val="5"/>
            <w:vAlign w:val="center"/>
          </w:tcPr>
          <w:p>
            <w:pPr>
              <w:pStyle w:val="66"/>
              <w:widowControl w:val="0"/>
              <w:spacing w:line="240" w:lineRule="exact"/>
              <w:ind w:firstLine="0" w:firstLineChars="0"/>
              <w:contextualSpacing/>
              <w:rPr>
                <w:rFonts w:hAnsi="宋体"/>
                <w:sz w:val="18"/>
                <w:szCs w:val="18"/>
              </w:rPr>
            </w:pPr>
            <w:r>
              <w:rPr>
                <w:rFonts w:hAnsi="宋体"/>
                <w:sz w:val="18"/>
                <w:szCs w:val="18"/>
              </w:rPr>
              <w:t>整机外形尺寸测量状态为</w:t>
            </w:r>
            <w:r>
              <w:rPr>
                <w:rFonts w:hint="eastAsia" w:hAnsi="宋体"/>
                <w:sz w:val="18"/>
                <w:szCs w:val="18"/>
              </w:rPr>
              <w:t>：样机停放在硬化检测场地上，轮胎气压正常，割台置于安全锁定位置，所有可活动的工作部件均置于收起（使样机外形尺寸最小）位置。</w:t>
            </w:r>
          </w:p>
        </w:tc>
      </w:tr>
    </w:tbl>
    <w:p>
      <w:pPr>
        <w:pStyle w:val="66"/>
        <w:numPr>
          <w:ilvl w:val="2"/>
          <w:numId w:val="13"/>
        </w:numPr>
        <w:spacing w:beforeLines="50" w:afterLines="50"/>
        <w:ind w:firstLineChars="0"/>
        <w:rPr>
          <w:rFonts w:ascii="黑体" w:hAnsi="黑体" w:eastAsia="黑体"/>
        </w:rPr>
      </w:pPr>
      <w:bookmarkStart w:id="67" w:name="_Toc455493425"/>
      <w:bookmarkStart w:id="68" w:name="_Toc455493768"/>
      <w:r>
        <w:rPr>
          <w:rFonts w:hint="eastAsia" w:ascii="黑体" w:hAnsi="黑体" w:eastAsia="黑体"/>
        </w:rPr>
        <w:t>判定规则</w:t>
      </w:r>
    </w:p>
    <w:p>
      <w:pPr>
        <w:pStyle w:val="69"/>
        <w:numPr>
          <w:ilvl w:val="0"/>
          <w:numId w:val="0"/>
        </w:numPr>
        <w:ind w:firstLine="420" w:firstLineChars="200"/>
        <w:contextualSpacing/>
        <w:rPr>
          <w:rFonts w:ascii="宋体" w:hAnsi="宋体" w:eastAsia="宋体"/>
        </w:rPr>
      </w:pPr>
      <w:r>
        <w:rPr>
          <w:rFonts w:hint="eastAsia" w:ascii="宋体" w:hAnsi="宋体" w:eastAsia="宋体"/>
        </w:rPr>
        <w:t>一致性检查的全部项目结果均满足表2要求时，一致性检查结论为符合大纲要求；否则，一致性检查结论为不符合大纲要求。</w:t>
      </w:r>
      <w:bookmarkEnd w:id="67"/>
      <w:bookmarkEnd w:id="68"/>
    </w:p>
    <w:p>
      <w:pPr>
        <w:pStyle w:val="140"/>
        <w:numPr>
          <w:ilvl w:val="1"/>
          <w:numId w:val="14"/>
        </w:numPr>
        <w:spacing w:line="320" w:lineRule="exact"/>
        <w:ind w:firstLineChars="0"/>
        <w:contextualSpacing/>
        <w:rPr>
          <w:vanish/>
        </w:rPr>
      </w:pPr>
    </w:p>
    <w:p>
      <w:pPr>
        <w:pStyle w:val="140"/>
        <w:numPr>
          <w:ilvl w:val="1"/>
          <w:numId w:val="14"/>
        </w:numPr>
        <w:spacing w:line="320" w:lineRule="exact"/>
        <w:ind w:firstLineChars="0"/>
        <w:contextualSpacing/>
        <w:rPr>
          <w:vanish/>
        </w:rPr>
      </w:pPr>
    </w:p>
    <w:p>
      <w:pPr>
        <w:pStyle w:val="140"/>
        <w:numPr>
          <w:ilvl w:val="1"/>
          <w:numId w:val="14"/>
        </w:numPr>
        <w:spacing w:line="320" w:lineRule="exact"/>
        <w:ind w:firstLineChars="0"/>
        <w:contextualSpacing/>
        <w:rPr>
          <w:vanish/>
        </w:rPr>
      </w:pPr>
    </w:p>
    <w:p>
      <w:pPr>
        <w:pStyle w:val="140"/>
        <w:numPr>
          <w:ilvl w:val="1"/>
          <w:numId w:val="14"/>
        </w:numPr>
        <w:spacing w:line="320" w:lineRule="exact"/>
        <w:ind w:firstLineChars="0"/>
        <w:contextualSpacing/>
        <w:rPr>
          <w:vanish/>
        </w:rPr>
      </w:pPr>
    </w:p>
    <w:p>
      <w:pPr>
        <w:pStyle w:val="140"/>
        <w:numPr>
          <w:ilvl w:val="1"/>
          <w:numId w:val="14"/>
        </w:numPr>
        <w:spacing w:line="320" w:lineRule="exact"/>
        <w:ind w:firstLineChars="0"/>
        <w:contextualSpacing/>
        <w:rPr>
          <w:vanish/>
        </w:rPr>
      </w:pPr>
    </w:p>
    <w:p>
      <w:pPr>
        <w:pStyle w:val="140"/>
        <w:numPr>
          <w:ilvl w:val="2"/>
          <w:numId w:val="14"/>
        </w:numPr>
        <w:spacing w:line="320" w:lineRule="exact"/>
        <w:ind w:firstLineChars="0"/>
        <w:contextualSpacing/>
        <w:rPr>
          <w:vanish/>
        </w:rPr>
      </w:pPr>
    </w:p>
    <w:p>
      <w:pPr>
        <w:pStyle w:val="68"/>
        <w:numPr>
          <w:ilvl w:val="1"/>
          <w:numId w:val="13"/>
        </w:numPr>
        <w:spacing w:beforeLines="50" w:afterLines="50"/>
        <w:contextualSpacing/>
        <w:jc w:val="left"/>
      </w:pPr>
      <w:bookmarkStart w:id="69" w:name="_Toc455493769"/>
      <w:r>
        <w:rPr>
          <w:rFonts w:hint="eastAsia"/>
        </w:rPr>
        <w:t>安全性评价</w:t>
      </w:r>
      <w:bookmarkEnd w:id="69"/>
    </w:p>
    <w:p>
      <w:pPr>
        <w:pStyle w:val="66"/>
        <w:numPr>
          <w:ilvl w:val="2"/>
          <w:numId w:val="13"/>
        </w:numPr>
        <w:spacing w:beforeLines="50" w:afterLines="50"/>
        <w:ind w:firstLineChars="0"/>
        <w:rPr>
          <w:rFonts w:ascii="黑体" w:hAnsi="黑体" w:eastAsia="黑体"/>
        </w:rPr>
      </w:pPr>
      <w:r>
        <w:rPr>
          <w:rFonts w:hint="eastAsia" w:ascii="黑体" w:hAnsi="黑体" w:eastAsia="黑体"/>
        </w:rPr>
        <w:t>安全防护、安全信息</w:t>
      </w:r>
    </w:p>
    <w:p>
      <w:pPr>
        <w:pStyle w:val="140"/>
        <w:widowControl/>
        <w:numPr>
          <w:ilvl w:val="2"/>
          <w:numId w:val="15"/>
        </w:numPr>
        <w:spacing w:line="320" w:lineRule="exact"/>
        <w:ind w:firstLineChars="0"/>
        <w:contextualSpacing/>
        <w:jc w:val="left"/>
        <w:outlineLvl w:val="3"/>
        <w:rPr>
          <w:rFonts w:eastAsia="黑体"/>
          <w:vanish/>
          <w:kern w:val="0"/>
          <w:szCs w:val="20"/>
        </w:rPr>
      </w:pPr>
    </w:p>
    <w:p>
      <w:pPr>
        <w:pStyle w:val="140"/>
        <w:widowControl/>
        <w:spacing w:beforeLines="50" w:afterLines="50" w:line="320" w:lineRule="exact"/>
        <w:ind w:firstLineChars="0"/>
        <w:contextualSpacing/>
        <w:jc w:val="left"/>
        <w:outlineLvl w:val="3"/>
        <w:rPr>
          <w:rFonts w:asciiTheme="minorEastAsia" w:hAnsiTheme="minorEastAsia" w:eastAsiaTheme="minorEastAsia"/>
        </w:rPr>
      </w:pPr>
      <w:r>
        <w:rPr>
          <w:rFonts w:hint="eastAsia" w:asciiTheme="minorEastAsia" w:hAnsiTheme="minorEastAsia" w:eastAsiaTheme="minorEastAsia"/>
        </w:rPr>
        <w:t>安全防护和安全信息的检查内容和要求见附录B。</w:t>
      </w:r>
    </w:p>
    <w:p>
      <w:pPr>
        <w:pStyle w:val="66"/>
        <w:numPr>
          <w:ilvl w:val="2"/>
          <w:numId w:val="13"/>
        </w:numPr>
        <w:spacing w:beforeLines="50" w:afterLines="50"/>
        <w:ind w:firstLineChars="0"/>
        <w:rPr>
          <w:rFonts w:ascii="黑体" w:hAnsi="黑体" w:eastAsia="黑体"/>
        </w:rPr>
      </w:pPr>
      <w:r>
        <w:rPr>
          <w:rFonts w:hint="eastAsia" w:ascii="黑体" w:hAnsi="黑体" w:eastAsia="黑体"/>
        </w:rPr>
        <w:t>安全性能（自走式）</w:t>
      </w:r>
    </w:p>
    <w:p>
      <w:pPr>
        <w:pStyle w:val="140"/>
        <w:widowControl/>
        <w:numPr>
          <w:ilvl w:val="3"/>
          <w:numId w:val="13"/>
        </w:numPr>
        <w:spacing w:beforeLines="50" w:afterLines="50"/>
        <w:ind w:firstLineChars="0"/>
        <w:contextualSpacing/>
        <w:jc w:val="left"/>
        <w:outlineLvl w:val="3"/>
        <w:rPr>
          <w:rFonts w:ascii="黑体" w:hAnsi="黑体" w:eastAsia="黑体"/>
        </w:rPr>
      </w:pPr>
      <w:r>
        <w:rPr>
          <w:rFonts w:hint="eastAsia" w:ascii="黑体" w:hAnsi="黑体" w:eastAsia="黑体"/>
        </w:rPr>
        <w:t>制动</w:t>
      </w:r>
    </w:p>
    <w:p>
      <w:pPr>
        <w:pStyle w:val="66"/>
        <w:ind w:firstLine="431" w:firstLineChars="0"/>
        <w:contextualSpacing/>
        <w:rPr>
          <w:rFonts w:asciiTheme="minorEastAsia" w:hAnsiTheme="minorEastAsia" w:eastAsiaTheme="minorEastAsia"/>
        </w:rPr>
      </w:pPr>
      <w:r>
        <w:rPr>
          <w:rFonts w:hint="eastAsia" w:asciiTheme="minorEastAsia" w:hAnsiTheme="minorEastAsia" w:eastAsiaTheme="minorEastAsia"/>
        </w:rPr>
        <w:t>a）冷态行车制动（履带式免做）</w:t>
      </w:r>
    </w:p>
    <w:p>
      <w:pPr>
        <w:pStyle w:val="66"/>
        <w:ind w:firstLine="431" w:firstLineChars="0"/>
        <w:contextualSpacing/>
        <w:rPr>
          <w:rFonts w:asciiTheme="minorEastAsia" w:hAnsiTheme="minorEastAsia" w:eastAsiaTheme="minorEastAsia"/>
        </w:rPr>
      </w:pPr>
      <w:r>
        <w:rPr>
          <w:rFonts w:hint="eastAsia" w:asciiTheme="minorEastAsia" w:hAnsiTheme="minorEastAsia" w:eastAsiaTheme="minorEastAsia"/>
        </w:rPr>
        <w:t>试验路面应为干燥平坦的硬路面，收获机油箱为满油状态，籽粒仓和葵盘仓（如有）空仓，轮胎气压符合使用说明书规定。试验时，收获机以（20±1）km/h（最高车速达不到20km/h的以最高车速为准）的初速度，进行冷态行车制动，目测后轮有无翘起，并测试其行车制动距离，往返各测1次，取平均值。</w:t>
      </w:r>
    </w:p>
    <w:p>
      <w:pPr>
        <w:pStyle w:val="66"/>
        <w:ind w:firstLine="431" w:firstLineChars="0"/>
        <w:contextualSpacing/>
        <w:rPr>
          <w:rFonts w:asciiTheme="minorEastAsia" w:hAnsiTheme="minorEastAsia" w:eastAsiaTheme="minorEastAsia"/>
        </w:rPr>
      </w:pPr>
      <w:r>
        <w:rPr>
          <w:rFonts w:hint="eastAsia" w:asciiTheme="minorEastAsia" w:hAnsiTheme="minorEastAsia" w:eastAsiaTheme="minorEastAsia"/>
        </w:rPr>
        <w:t>b）驻车制动试验</w:t>
      </w:r>
    </w:p>
    <w:p>
      <w:pPr>
        <w:pStyle w:val="66"/>
        <w:ind w:firstLine="431" w:firstLineChars="0"/>
        <w:contextualSpacing/>
        <w:rPr>
          <w:rFonts w:asciiTheme="minorEastAsia" w:hAnsiTheme="minorEastAsia" w:eastAsiaTheme="minorEastAsia"/>
        </w:rPr>
      </w:pPr>
      <w:r>
        <w:rPr>
          <w:rFonts w:hint="eastAsia" w:asciiTheme="minorEastAsia" w:hAnsiTheme="minorEastAsia" w:eastAsiaTheme="minorEastAsia"/>
        </w:rPr>
        <w:t>轮式收获机在20%的干硬坡道、履带式收获机在25%的干硬坡道上驻车，时间不少于5min，目测收获机能否可靠地停在坡道上，上坡和下坡各测1次。</w:t>
      </w:r>
    </w:p>
    <w:p>
      <w:pPr>
        <w:pStyle w:val="140"/>
        <w:widowControl/>
        <w:numPr>
          <w:ilvl w:val="3"/>
          <w:numId w:val="13"/>
        </w:numPr>
        <w:spacing w:beforeLines="50" w:afterLines="50"/>
        <w:ind w:firstLineChars="0"/>
        <w:contextualSpacing/>
        <w:jc w:val="left"/>
        <w:outlineLvl w:val="3"/>
        <w:rPr>
          <w:rFonts w:ascii="黑体" w:hAnsi="黑体" w:eastAsia="黑体"/>
        </w:rPr>
      </w:pPr>
      <w:r>
        <w:rPr>
          <w:rFonts w:hint="eastAsia" w:ascii="黑体" w:hAnsi="黑体" w:eastAsia="黑体"/>
        </w:rPr>
        <w:t>驾驶员耳位噪声</w:t>
      </w:r>
    </w:p>
    <w:p>
      <w:pPr>
        <w:pStyle w:val="66"/>
        <w:ind w:firstLine="431" w:firstLineChars="0"/>
        <w:contextualSpacing/>
        <w:rPr>
          <w:rFonts w:asciiTheme="minorEastAsia" w:hAnsiTheme="minorEastAsia" w:eastAsiaTheme="minorEastAsia"/>
        </w:rPr>
      </w:pPr>
      <w:r>
        <w:rPr>
          <w:rFonts w:hint="eastAsia" w:asciiTheme="minorEastAsia" w:hAnsiTheme="minorEastAsia" w:eastAsiaTheme="minorEastAsia"/>
        </w:rPr>
        <w:t>测试场地应为平坦的土地或矮草地。在离测区中心半径25m范围内，不得有大的噪声反射物。配置简易驾驶室或无驾驶室机型测试时，离地表1.2m处的平均风速应不大于3m/s。测试期间背景噪声应比测量噪声级至少低10dB（A）。</w:t>
      </w:r>
    </w:p>
    <w:p>
      <w:pPr>
        <w:pStyle w:val="66"/>
        <w:spacing w:beforeLines="50" w:afterLines="50"/>
        <w:ind w:firstLine="420"/>
        <w:contextualSpacing/>
        <w:rPr>
          <w:rFonts w:asciiTheme="minorEastAsia" w:hAnsiTheme="minorEastAsia" w:eastAsiaTheme="minorEastAsia"/>
        </w:rPr>
      </w:pPr>
      <w:r>
        <w:rPr>
          <w:rFonts w:hint="eastAsia" w:asciiTheme="minorEastAsia" w:hAnsiTheme="minorEastAsia" w:eastAsiaTheme="minorEastAsia"/>
        </w:rPr>
        <w:t>测试时，收获机发动机在额定转速下运转，收获部件全部空运转。如装有驾驶室，应关闭门窗。驾驶员座在座椅中间位置，传声器应置于距驾驶员头部垂直中心面250mm±20mm处，传声器轴线应水平，膜片朝前，传声器中心高度及前后位置与驾驶员眼睛成直线，声级计采用A计权慢档进行测量。</w:t>
      </w:r>
    </w:p>
    <w:p>
      <w:pPr>
        <w:pStyle w:val="66"/>
        <w:spacing w:beforeLines="50" w:afterLines="50"/>
        <w:ind w:firstLine="420"/>
        <w:contextualSpacing/>
        <w:rPr>
          <w:rFonts w:asciiTheme="minorEastAsia" w:hAnsiTheme="minorEastAsia" w:eastAsiaTheme="minorEastAsia"/>
        </w:rPr>
      </w:pPr>
      <w:r>
        <w:rPr>
          <w:rFonts w:hint="eastAsia" w:asciiTheme="minorEastAsia" w:hAnsiTheme="minorEastAsia" w:eastAsiaTheme="minorEastAsia"/>
        </w:rPr>
        <w:t>在机器运转稳定状态下，左右两侧各进行3次测量，每次间隔时间不小于5s，同侧3次连续测量的读数应在3dB以内，取左右两侧6次测量结果的算术平均值作为测量结果。</w:t>
      </w:r>
    </w:p>
    <w:p>
      <w:pPr>
        <w:pStyle w:val="140"/>
        <w:widowControl/>
        <w:numPr>
          <w:ilvl w:val="2"/>
          <w:numId w:val="13"/>
        </w:numPr>
        <w:spacing w:beforeLines="50" w:afterLines="50"/>
        <w:ind w:firstLineChars="0"/>
        <w:contextualSpacing/>
        <w:jc w:val="left"/>
        <w:outlineLvl w:val="3"/>
        <w:rPr>
          <w:rFonts w:ascii="黑体" w:hAnsi="黑体" w:eastAsia="黑体"/>
        </w:rPr>
      </w:pPr>
      <w:r>
        <w:rPr>
          <w:rFonts w:hint="eastAsia" w:ascii="黑体" w:hAnsi="黑体" w:eastAsia="黑体"/>
        </w:rPr>
        <w:t>安全装备</w:t>
      </w:r>
    </w:p>
    <w:p>
      <w:pPr>
        <w:pStyle w:val="66"/>
        <w:spacing w:beforeLines="50" w:afterLines="50"/>
        <w:ind w:left="105" w:leftChars="50" w:firstLine="315" w:firstLineChars="150"/>
        <w:contextualSpacing/>
        <w:rPr>
          <w:rFonts w:asciiTheme="minorEastAsia" w:hAnsiTheme="minorEastAsia" w:eastAsiaTheme="minorEastAsia"/>
        </w:rPr>
      </w:pPr>
      <w:r>
        <w:rPr>
          <w:rFonts w:hint="eastAsia" w:asciiTheme="minorEastAsia" w:hAnsiTheme="minorEastAsia" w:eastAsiaTheme="minorEastAsia"/>
        </w:rPr>
        <w:t>收获机应配备灭火器并置于易于取卸的位置上。</w:t>
      </w:r>
    </w:p>
    <w:p>
      <w:pPr>
        <w:pStyle w:val="68"/>
        <w:numPr>
          <w:ilvl w:val="2"/>
          <w:numId w:val="13"/>
        </w:numPr>
        <w:spacing w:beforeLines="50" w:afterLines="50"/>
        <w:contextualSpacing/>
        <w:jc w:val="left"/>
      </w:pPr>
      <w:r>
        <w:rPr>
          <w:rFonts w:hint="eastAsia"/>
        </w:rPr>
        <w:t>判定规则</w:t>
      </w:r>
    </w:p>
    <w:p>
      <w:pPr>
        <w:pStyle w:val="66"/>
        <w:spacing w:beforeLines="50" w:afterLines="50"/>
        <w:ind w:left="105" w:hanging="105" w:hangingChars="50"/>
        <w:contextualSpacing/>
        <w:rPr>
          <w:rFonts w:asciiTheme="minorEastAsia" w:hAnsiTheme="minorEastAsia" w:eastAsiaTheme="minorEastAsia"/>
        </w:rPr>
      </w:pPr>
      <w:r>
        <w:rPr>
          <w:rFonts w:hint="eastAsia" w:asciiTheme="minorEastAsia" w:hAnsiTheme="minorEastAsia" w:eastAsiaTheme="minorEastAsia"/>
        </w:rPr>
        <w:t xml:space="preserve">     安全防护、安全信息、安全性能和安全装备均满足要求时，安全性评价结论为符合大纲要求；否则，安全性评价结论为不符合大纲要求。</w:t>
      </w:r>
    </w:p>
    <w:p>
      <w:pPr>
        <w:pStyle w:val="68"/>
        <w:numPr>
          <w:ilvl w:val="1"/>
          <w:numId w:val="13"/>
        </w:numPr>
        <w:spacing w:beforeLines="50" w:afterLines="50"/>
        <w:contextualSpacing/>
        <w:jc w:val="left"/>
      </w:pPr>
      <w:bookmarkStart w:id="70" w:name="_Toc455493775"/>
      <w:r>
        <w:rPr>
          <w:rFonts w:hint="eastAsia"/>
        </w:rPr>
        <w:t>适用性评价</w:t>
      </w:r>
      <w:bookmarkEnd w:id="70"/>
    </w:p>
    <w:p>
      <w:pPr>
        <w:pStyle w:val="140"/>
        <w:numPr>
          <w:ilvl w:val="2"/>
          <w:numId w:val="15"/>
        </w:numPr>
        <w:spacing w:line="320" w:lineRule="exact"/>
        <w:ind w:firstLineChars="0"/>
        <w:contextualSpacing/>
        <w:rPr>
          <w:rFonts w:ascii="黑体" w:eastAsia="黑体"/>
          <w:vanish/>
          <w:kern w:val="0"/>
          <w:szCs w:val="20"/>
        </w:rPr>
      </w:pPr>
    </w:p>
    <w:p>
      <w:pPr>
        <w:pStyle w:val="70"/>
        <w:numPr>
          <w:ilvl w:val="2"/>
          <w:numId w:val="13"/>
        </w:numPr>
        <w:spacing w:beforeLines="50" w:afterLines="50"/>
        <w:contextualSpacing/>
        <w:rPr>
          <w:rFonts w:ascii="黑体" w:eastAsia="黑体"/>
          <w:kern w:val="0"/>
          <w:szCs w:val="20"/>
        </w:rPr>
      </w:pPr>
      <w:r>
        <w:rPr>
          <w:rFonts w:hint="eastAsia" w:ascii="黑体" w:eastAsia="黑体"/>
          <w:kern w:val="0"/>
          <w:szCs w:val="20"/>
        </w:rPr>
        <w:t>评价方法</w:t>
      </w:r>
    </w:p>
    <w:p>
      <w:pPr>
        <w:pStyle w:val="69"/>
        <w:numPr>
          <w:ilvl w:val="0"/>
          <w:numId w:val="0"/>
        </w:numPr>
        <w:spacing w:afterLines="50"/>
        <w:ind w:firstLine="420" w:firstLineChars="200"/>
        <w:contextualSpacing/>
        <w:rPr>
          <w:rFonts w:ascii="宋体" w:hAnsi="宋体" w:eastAsia="宋体"/>
        </w:rPr>
      </w:pPr>
      <w:r>
        <w:rPr>
          <w:rFonts w:hint="eastAsia" w:ascii="宋体" w:hAnsi="宋体" w:eastAsia="宋体"/>
        </w:rPr>
        <w:t>适用性评价采用选点试验与用户调查相结合的方法进行。根据产品的适用范围，选取1个区域进行性能试验。按照制造商提供的用户名单进行适用性用户意见调查。重点考核机具对种植模式、行距、成熟度、最低葵盘高度等不同条件下的适用能力。</w:t>
      </w:r>
    </w:p>
    <w:p>
      <w:pPr>
        <w:pStyle w:val="140"/>
        <w:widowControl/>
        <w:numPr>
          <w:ilvl w:val="1"/>
          <w:numId w:val="15"/>
        </w:numPr>
        <w:spacing w:line="320" w:lineRule="exact"/>
        <w:ind w:firstLineChars="0"/>
        <w:contextualSpacing/>
        <w:jc w:val="left"/>
        <w:outlineLvl w:val="3"/>
        <w:rPr>
          <w:rFonts w:ascii="黑体" w:eastAsia="黑体"/>
          <w:vanish/>
          <w:kern w:val="0"/>
          <w:szCs w:val="20"/>
        </w:rPr>
      </w:pPr>
    </w:p>
    <w:p>
      <w:pPr>
        <w:pStyle w:val="140"/>
        <w:widowControl/>
        <w:numPr>
          <w:ilvl w:val="1"/>
          <w:numId w:val="15"/>
        </w:numPr>
        <w:spacing w:line="320" w:lineRule="exact"/>
        <w:ind w:firstLineChars="0"/>
        <w:contextualSpacing/>
        <w:jc w:val="left"/>
        <w:outlineLvl w:val="3"/>
        <w:rPr>
          <w:rFonts w:ascii="黑体" w:eastAsia="黑体"/>
          <w:vanish/>
          <w:kern w:val="0"/>
          <w:szCs w:val="20"/>
        </w:rPr>
      </w:pPr>
    </w:p>
    <w:p>
      <w:pPr>
        <w:pStyle w:val="140"/>
        <w:widowControl/>
        <w:numPr>
          <w:ilvl w:val="1"/>
          <w:numId w:val="15"/>
        </w:numPr>
        <w:spacing w:line="320" w:lineRule="exact"/>
        <w:ind w:firstLineChars="0"/>
        <w:contextualSpacing/>
        <w:jc w:val="left"/>
        <w:outlineLvl w:val="3"/>
        <w:rPr>
          <w:rFonts w:ascii="黑体" w:eastAsia="黑体"/>
          <w:vanish/>
          <w:kern w:val="0"/>
          <w:szCs w:val="20"/>
        </w:rPr>
      </w:pPr>
    </w:p>
    <w:p>
      <w:pPr>
        <w:pStyle w:val="140"/>
        <w:widowControl/>
        <w:numPr>
          <w:ilvl w:val="1"/>
          <w:numId w:val="15"/>
        </w:numPr>
        <w:spacing w:line="320" w:lineRule="exact"/>
        <w:ind w:firstLineChars="0"/>
        <w:contextualSpacing/>
        <w:jc w:val="left"/>
        <w:outlineLvl w:val="3"/>
        <w:rPr>
          <w:rFonts w:ascii="黑体" w:eastAsia="黑体"/>
          <w:vanish/>
          <w:kern w:val="0"/>
          <w:szCs w:val="20"/>
        </w:rPr>
      </w:pPr>
    </w:p>
    <w:p>
      <w:pPr>
        <w:pStyle w:val="140"/>
        <w:widowControl/>
        <w:numPr>
          <w:ilvl w:val="2"/>
          <w:numId w:val="15"/>
        </w:numPr>
        <w:spacing w:line="320" w:lineRule="exact"/>
        <w:ind w:firstLineChars="0"/>
        <w:contextualSpacing/>
        <w:jc w:val="left"/>
        <w:outlineLvl w:val="3"/>
        <w:rPr>
          <w:rFonts w:ascii="黑体" w:eastAsia="黑体"/>
          <w:vanish/>
          <w:kern w:val="0"/>
          <w:szCs w:val="20"/>
        </w:rPr>
      </w:pPr>
    </w:p>
    <w:p>
      <w:pPr>
        <w:pStyle w:val="140"/>
        <w:widowControl/>
        <w:numPr>
          <w:ilvl w:val="2"/>
          <w:numId w:val="15"/>
        </w:numPr>
        <w:spacing w:line="320" w:lineRule="exact"/>
        <w:ind w:firstLineChars="0"/>
        <w:contextualSpacing/>
        <w:jc w:val="left"/>
        <w:outlineLvl w:val="3"/>
        <w:rPr>
          <w:rFonts w:ascii="黑体" w:eastAsia="黑体"/>
          <w:vanish/>
          <w:kern w:val="0"/>
          <w:szCs w:val="20"/>
        </w:rPr>
      </w:pPr>
    </w:p>
    <w:p>
      <w:pPr>
        <w:pStyle w:val="140"/>
        <w:widowControl/>
        <w:numPr>
          <w:ilvl w:val="2"/>
          <w:numId w:val="15"/>
        </w:numPr>
        <w:spacing w:line="320" w:lineRule="exact"/>
        <w:ind w:firstLineChars="0"/>
        <w:contextualSpacing/>
        <w:jc w:val="left"/>
        <w:outlineLvl w:val="3"/>
        <w:rPr>
          <w:rFonts w:ascii="黑体" w:eastAsia="黑体"/>
          <w:vanish/>
          <w:kern w:val="0"/>
          <w:szCs w:val="20"/>
        </w:rPr>
      </w:pPr>
    </w:p>
    <w:p>
      <w:pPr>
        <w:pStyle w:val="70"/>
        <w:numPr>
          <w:ilvl w:val="3"/>
          <w:numId w:val="15"/>
        </w:numPr>
        <w:rPr>
          <w:vanish/>
        </w:rPr>
      </w:pPr>
    </w:p>
    <w:p>
      <w:pPr>
        <w:pStyle w:val="70"/>
        <w:numPr>
          <w:ilvl w:val="2"/>
          <w:numId w:val="13"/>
        </w:numPr>
        <w:spacing w:beforeLines="50" w:afterLines="50"/>
        <w:ind w:hangingChars="343"/>
        <w:contextualSpacing/>
        <w:rPr>
          <w:rFonts w:ascii="黑体" w:eastAsia="黑体"/>
          <w:kern w:val="0"/>
          <w:szCs w:val="20"/>
        </w:rPr>
      </w:pPr>
      <w:r>
        <w:rPr>
          <w:rFonts w:hint="eastAsia" w:ascii="黑体" w:eastAsia="黑体"/>
          <w:kern w:val="0"/>
          <w:szCs w:val="20"/>
        </w:rPr>
        <w:t>评价内容</w:t>
      </w:r>
    </w:p>
    <w:p>
      <w:pPr>
        <w:pStyle w:val="66"/>
        <w:spacing w:line="320" w:lineRule="exact"/>
        <w:ind w:firstLine="420"/>
        <w:contextualSpacing/>
        <w:rPr>
          <w:rFonts w:ascii="黑体" w:eastAsia="黑体"/>
          <w:color w:val="FF0000"/>
        </w:rPr>
      </w:pPr>
      <w:r>
        <w:rPr>
          <w:rFonts w:hint="eastAsia" w:hAnsi="宋体"/>
        </w:rPr>
        <w:t>评价内容包括总损失率、籽粒含杂率、籽粒破损率、籽粒划伤率等作业性能及用户调查适用性情况。</w:t>
      </w:r>
    </w:p>
    <w:p>
      <w:pPr>
        <w:pStyle w:val="70"/>
        <w:numPr>
          <w:ilvl w:val="2"/>
          <w:numId w:val="13"/>
        </w:numPr>
        <w:spacing w:beforeLines="50" w:afterLines="50"/>
        <w:contextualSpacing/>
        <w:rPr>
          <w:rFonts w:ascii="黑体" w:eastAsia="黑体"/>
          <w:kern w:val="0"/>
          <w:szCs w:val="20"/>
        </w:rPr>
      </w:pPr>
      <w:bookmarkStart w:id="71" w:name="_Toc455493777"/>
      <w:bookmarkStart w:id="72" w:name="_Toc455493434"/>
      <w:r>
        <w:rPr>
          <w:rFonts w:hint="eastAsia" w:ascii="黑体" w:eastAsia="黑体"/>
          <w:kern w:val="0"/>
          <w:szCs w:val="20"/>
        </w:rPr>
        <w:t>作业性能试验</w:t>
      </w:r>
      <w:bookmarkEnd w:id="71"/>
      <w:bookmarkEnd w:id="72"/>
    </w:p>
    <w:p>
      <w:pPr>
        <w:pStyle w:val="66"/>
        <w:numPr>
          <w:ilvl w:val="3"/>
          <w:numId w:val="13"/>
        </w:numPr>
        <w:spacing w:beforeLines="50" w:afterLines="50"/>
        <w:ind w:hangingChars="343"/>
        <w:contextualSpacing/>
        <w:outlineLvl w:val="3"/>
        <w:rPr>
          <w:rFonts w:ascii="黑体" w:hAnsi="黑体" w:eastAsia="黑体"/>
        </w:rPr>
      </w:pPr>
      <w:r>
        <w:rPr>
          <w:rFonts w:hint="eastAsia" w:ascii="黑体" w:hAnsi="黑体" w:eastAsia="黑体"/>
        </w:rPr>
        <w:t>样机技术状态</w:t>
      </w:r>
    </w:p>
    <w:p>
      <w:pPr>
        <w:pStyle w:val="66"/>
        <w:spacing w:line="160" w:lineRule="exact"/>
        <w:ind w:left="720" w:firstLine="0" w:firstLineChars="0"/>
        <w:contextualSpacing/>
        <w:outlineLvl w:val="3"/>
        <w:rPr>
          <w:rFonts w:ascii="黑体" w:hAnsi="黑体" w:eastAsia="黑体"/>
          <w:sz w:val="13"/>
          <w:szCs w:val="13"/>
        </w:rPr>
      </w:pPr>
    </w:p>
    <w:p>
      <w:pPr>
        <w:pStyle w:val="66"/>
        <w:spacing w:before="50" w:after="50"/>
        <w:ind w:firstLine="420"/>
        <w:contextualSpacing/>
        <w:rPr>
          <w:rFonts w:hAnsi="宋体"/>
        </w:rPr>
      </w:pPr>
      <w:r>
        <w:rPr>
          <w:rFonts w:hint="eastAsia" w:hAnsi="宋体"/>
        </w:rPr>
        <w:t>样机技术状态应符合产品说明书要求。驾驶员的驾驶技术应熟练，样机籽粒仓和葵盘仓为空仓状态。</w:t>
      </w:r>
    </w:p>
    <w:p>
      <w:pPr>
        <w:pStyle w:val="66"/>
        <w:spacing w:line="160" w:lineRule="exact"/>
        <w:ind w:firstLine="260"/>
        <w:contextualSpacing/>
        <w:rPr>
          <w:rFonts w:hAnsi="宋体"/>
          <w:sz w:val="13"/>
          <w:szCs w:val="13"/>
        </w:rPr>
      </w:pPr>
    </w:p>
    <w:p>
      <w:pPr>
        <w:pStyle w:val="66"/>
        <w:numPr>
          <w:ilvl w:val="3"/>
          <w:numId w:val="13"/>
        </w:numPr>
        <w:spacing w:beforeLines="50" w:afterLines="50"/>
        <w:ind w:firstLineChars="0"/>
        <w:contextualSpacing/>
        <w:rPr>
          <w:rFonts w:ascii="黑体" w:eastAsia="黑体"/>
        </w:rPr>
      </w:pPr>
      <w:r>
        <w:rPr>
          <w:rFonts w:hint="eastAsia" w:ascii="黑体" w:eastAsia="黑体"/>
        </w:rPr>
        <w:t>试验条件</w:t>
      </w:r>
    </w:p>
    <w:p>
      <w:pPr>
        <w:pStyle w:val="66"/>
        <w:spacing w:line="160" w:lineRule="exact"/>
        <w:ind w:left="720" w:firstLine="0" w:firstLineChars="0"/>
        <w:contextualSpacing/>
        <w:rPr>
          <w:rFonts w:ascii="黑体" w:eastAsia="黑体"/>
        </w:rPr>
      </w:pPr>
    </w:p>
    <w:p>
      <w:pPr>
        <w:pStyle w:val="66"/>
        <w:spacing w:before="50" w:after="50"/>
        <w:ind w:firstLine="420"/>
        <w:contextualSpacing/>
        <w:rPr>
          <w:rFonts w:hAnsi="宋体"/>
        </w:rPr>
      </w:pPr>
      <w:r>
        <w:rPr>
          <w:rFonts w:hAnsi="宋体"/>
        </w:rPr>
        <w:t>试验地应具有代表性</w:t>
      </w:r>
      <w:r>
        <w:rPr>
          <w:rFonts w:hint="eastAsia" w:hAnsi="宋体"/>
        </w:rPr>
        <w:t>，作物长势比较均匀，</w:t>
      </w:r>
      <w:r>
        <w:rPr>
          <w:rFonts w:hAnsi="宋体"/>
        </w:rPr>
        <w:t>地势应平坦</w:t>
      </w:r>
      <w:r>
        <w:rPr>
          <w:rFonts w:hint="eastAsia" w:hAnsi="宋体"/>
        </w:rPr>
        <w:t>，</w:t>
      </w:r>
      <w:r>
        <w:rPr>
          <w:rFonts w:hAnsi="宋体"/>
        </w:rPr>
        <w:t>无障碍物</w:t>
      </w:r>
      <w:r>
        <w:rPr>
          <w:rFonts w:hint="eastAsia" w:hAnsi="宋体"/>
        </w:rPr>
        <w:t>，</w:t>
      </w:r>
      <w:r>
        <w:rPr>
          <w:rFonts w:hAnsi="宋体"/>
        </w:rPr>
        <w:t>地表条件应符合使用说明书要求</w:t>
      </w:r>
      <w:r>
        <w:rPr>
          <w:rFonts w:hint="eastAsia" w:hAnsi="宋体"/>
        </w:rPr>
        <w:t>。试验区由稳定区、测定区和停车区组成。测定区长度为30m，测定区前应有20m的稳定区，测定区后应有20m的停车区；测定区宽度应不小于3个工作幅宽。清理测定区内自然脱落的籽粒、葵盘，确保稳定区和停车区内无向日葵植株。</w:t>
      </w:r>
    </w:p>
    <w:p>
      <w:pPr>
        <w:pStyle w:val="66"/>
        <w:spacing w:line="160" w:lineRule="exact"/>
        <w:ind w:firstLine="260"/>
        <w:contextualSpacing/>
        <w:rPr>
          <w:rFonts w:hAnsi="宋体"/>
          <w:sz w:val="13"/>
          <w:szCs w:val="13"/>
        </w:rPr>
      </w:pPr>
    </w:p>
    <w:p>
      <w:pPr>
        <w:pStyle w:val="66"/>
        <w:numPr>
          <w:ilvl w:val="3"/>
          <w:numId w:val="13"/>
        </w:numPr>
        <w:spacing w:beforeLines="50" w:afterLines="50"/>
        <w:ind w:hangingChars="343"/>
        <w:contextualSpacing/>
        <w:rPr>
          <w:rFonts w:ascii="黑体" w:eastAsia="黑体"/>
        </w:rPr>
      </w:pPr>
      <w:r>
        <w:rPr>
          <w:rFonts w:hint="eastAsia" w:ascii="黑体" w:eastAsia="黑体"/>
        </w:rPr>
        <w:t>田间调查</w:t>
      </w:r>
    </w:p>
    <w:p>
      <w:pPr>
        <w:pStyle w:val="66"/>
        <w:spacing w:line="160" w:lineRule="exact"/>
        <w:ind w:left="720" w:firstLine="0" w:firstLineChars="0"/>
        <w:contextualSpacing/>
        <w:rPr>
          <w:rFonts w:ascii="黑体" w:eastAsia="黑体"/>
          <w:sz w:val="13"/>
          <w:szCs w:val="13"/>
        </w:rPr>
      </w:pPr>
    </w:p>
    <w:p>
      <w:pPr>
        <w:pStyle w:val="66"/>
        <w:ind w:firstLine="420"/>
        <w:contextualSpacing/>
        <w:rPr>
          <w:rFonts w:hAnsi="宋体"/>
        </w:rPr>
      </w:pPr>
      <w:r>
        <w:rPr>
          <w:rFonts w:hint="eastAsia" w:hAnsi="宋体"/>
        </w:rPr>
        <w:t>测量点位：在试验区内按五点法取测点，每个测点取一个工作幅宽，长度为1m。</w:t>
      </w:r>
    </w:p>
    <w:p>
      <w:pPr>
        <w:pStyle w:val="66"/>
        <w:ind w:firstLine="420"/>
        <w:jc w:val="left"/>
      </w:pPr>
      <w:r>
        <w:rPr>
          <w:rFonts w:hint="eastAsia" w:hAnsi="宋体"/>
        </w:rPr>
        <w:t>地表条件：</w:t>
      </w:r>
      <w:bookmarkStart w:id="73" w:name="_Toc471142661"/>
      <w:bookmarkStart w:id="74" w:name="_Toc471142503"/>
      <w:r>
        <w:rPr>
          <w:rFonts w:hint="eastAsia"/>
        </w:rPr>
        <w:t>调查并记录试验区内地形、土质、杂草种类。</w:t>
      </w:r>
      <w:bookmarkEnd w:id="73"/>
      <w:bookmarkEnd w:id="74"/>
    </w:p>
    <w:p>
      <w:pPr>
        <w:pStyle w:val="66"/>
        <w:ind w:firstLine="420"/>
        <w:contextualSpacing/>
        <w:jc w:val="left"/>
      </w:pPr>
      <w:r>
        <w:rPr>
          <w:rFonts w:hAnsi="宋体"/>
        </w:rPr>
        <w:t>作物特征</w:t>
      </w:r>
      <w:r>
        <w:rPr>
          <w:rFonts w:hint="eastAsia" w:hAnsi="宋体"/>
        </w:rPr>
        <w:t>：</w:t>
      </w:r>
      <w:bookmarkStart w:id="75" w:name="_Toc471142662"/>
      <w:bookmarkStart w:id="76" w:name="_Toc471142504"/>
      <w:r>
        <w:rPr>
          <w:rFonts w:hint="eastAsia"/>
        </w:rPr>
        <w:t>调查试验区内作物品种和成熟期，按五点法测定最低籽盘高度、株距</w:t>
      </w:r>
      <w:bookmarkEnd w:id="75"/>
      <w:bookmarkEnd w:id="76"/>
      <w:r>
        <w:rPr>
          <w:rFonts w:hint="eastAsia"/>
        </w:rPr>
        <w:t>、各株茎秆距垄顶</w:t>
      </w:r>
      <w:r>
        <w:t>10cm</w:t>
      </w:r>
      <w:r>
        <w:rPr>
          <w:rFonts w:hint="eastAsia"/>
        </w:rPr>
        <w:t>处的直径、各株籽盘直径、各株籽盘高度、籽粒含水率（每点取100g），取平均值作为检验结果。</w:t>
      </w:r>
    </w:p>
    <w:p>
      <w:pPr>
        <w:pStyle w:val="66"/>
        <w:ind w:firstLine="420"/>
        <w:contextualSpacing/>
      </w:pPr>
      <w:r>
        <w:rPr>
          <w:rFonts w:hint="eastAsia"/>
        </w:rPr>
        <w:t>气象条件：试验过程的前、中、后分别记录空气温度、空气相对湿度和风速，取范围值。</w:t>
      </w:r>
    </w:p>
    <w:p>
      <w:pPr>
        <w:pStyle w:val="66"/>
        <w:spacing w:line="160" w:lineRule="exact"/>
        <w:ind w:firstLine="420" w:firstLineChars="0"/>
        <w:contextualSpacing/>
        <w:rPr>
          <w:rFonts w:hAnsi="宋体"/>
        </w:rPr>
      </w:pPr>
    </w:p>
    <w:p>
      <w:pPr>
        <w:pStyle w:val="66"/>
        <w:numPr>
          <w:ilvl w:val="3"/>
          <w:numId w:val="13"/>
        </w:numPr>
        <w:spacing w:beforeLines="50" w:afterLines="50"/>
        <w:ind w:firstLineChars="0"/>
        <w:contextualSpacing/>
        <w:rPr>
          <w:rFonts w:ascii="黑体" w:eastAsia="黑体"/>
        </w:rPr>
      </w:pPr>
      <w:r>
        <w:rPr>
          <w:rFonts w:hint="eastAsia" w:ascii="黑体" w:eastAsia="黑体"/>
        </w:rPr>
        <w:t>试验方法</w:t>
      </w:r>
    </w:p>
    <w:p>
      <w:pPr>
        <w:pStyle w:val="66"/>
        <w:spacing w:line="160" w:lineRule="exact"/>
        <w:ind w:firstLine="420"/>
        <w:contextualSpacing/>
        <w:rPr>
          <w:rFonts w:hAnsi="宋体"/>
        </w:rPr>
      </w:pPr>
    </w:p>
    <w:p>
      <w:pPr>
        <w:pStyle w:val="66"/>
        <w:ind w:firstLine="420"/>
        <w:contextualSpacing/>
        <w:rPr>
          <w:rFonts w:hAnsi="宋体"/>
        </w:rPr>
      </w:pPr>
      <w:r>
        <w:rPr>
          <w:rFonts w:hAnsi="宋体"/>
        </w:rPr>
        <w:t>在使用说明书规定的作业速度下</w:t>
      </w:r>
      <w:r>
        <w:rPr>
          <w:rFonts w:hint="eastAsia" w:hAnsi="宋体"/>
        </w:rPr>
        <w:t>，</w:t>
      </w:r>
      <w:r>
        <w:rPr>
          <w:rFonts w:hAnsi="宋体"/>
        </w:rPr>
        <w:t>作业往返各</w:t>
      </w:r>
      <w:r>
        <w:rPr>
          <w:rFonts w:hint="eastAsia" w:hAnsi="宋体"/>
        </w:rPr>
        <w:t>1个行程共2个行程，每个行程测试1次，取平均值。测定作业速度、总损失率、籽粒含杂率、籽粒破损率和籽粒划伤率。</w:t>
      </w:r>
    </w:p>
    <w:p>
      <w:pPr>
        <w:pStyle w:val="66"/>
        <w:ind w:firstLine="420"/>
        <w:contextualSpacing/>
        <w:rPr>
          <w:rFonts w:hAnsi="宋体"/>
        </w:rPr>
      </w:pPr>
      <w:r>
        <w:rPr>
          <w:rFonts w:hAnsi="宋体"/>
        </w:rPr>
        <w:t>a</w:t>
      </w:r>
      <w:r>
        <w:rPr>
          <w:rFonts w:hint="eastAsia" w:hAnsi="宋体"/>
        </w:rPr>
        <w:t>）作业速度</w:t>
      </w:r>
    </w:p>
    <w:p>
      <w:pPr>
        <w:pStyle w:val="66"/>
        <w:ind w:firstLine="420"/>
        <w:rPr>
          <w:rFonts w:hAnsi="宋体"/>
        </w:rPr>
      </w:pPr>
      <w:r>
        <w:rPr>
          <w:rFonts w:hint="eastAsia" w:hAnsi="宋体"/>
        </w:rPr>
        <w:t>按式</w:t>
      </w:r>
      <w:r>
        <w:rPr>
          <w:rFonts w:hAnsi="宋体"/>
        </w:rPr>
        <w:t>(1)</w:t>
      </w:r>
      <w:r>
        <w:rPr>
          <w:rFonts w:hint="eastAsia" w:hAnsi="宋体"/>
        </w:rPr>
        <w:t>计算作业速度。</w:t>
      </w:r>
    </w:p>
    <w:p>
      <w:pPr>
        <w:pStyle w:val="146"/>
      </w:pPr>
      <w:r>
        <w:tab/>
      </w:r>
      <w:r>
        <w:rPr>
          <w:rFonts w:hint="eastAsia"/>
          <w:position w:val="-24"/>
        </w:rPr>
        <w:object>
          <v:shape id="_x0000_i1025" o:spt="75" type="#_x0000_t75" style="height:30.45pt;width:57.6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tab/>
      </w:r>
      <w:r>
        <w:rPr>
          <w:rFonts w:hint="eastAsia"/>
        </w:rPr>
        <w:t>（1）</w:t>
      </w:r>
    </w:p>
    <w:p>
      <w:pPr>
        <w:pStyle w:val="66"/>
        <w:ind w:firstLine="420"/>
      </w:pPr>
    </w:p>
    <w:p>
      <w:pPr>
        <w:pStyle w:val="66"/>
        <w:ind w:firstLine="420"/>
      </w:pPr>
      <w:r>
        <w:rPr>
          <w:rFonts w:hint="eastAsia"/>
        </w:rPr>
        <w:t>式中：</w:t>
      </w:r>
    </w:p>
    <w:p>
      <w:pPr>
        <w:pStyle w:val="66"/>
        <w:ind w:firstLine="420"/>
        <w:rPr>
          <w:rFonts w:hAnsi="宋体"/>
        </w:rPr>
      </w:pPr>
      <w:r>
        <w:rPr>
          <w:position w:val="-6"/>
        </w:rPr>
        <w:object>
          <v:shape id="_x0000_i1026" o:spt="75" type="#_x0000_t75" style="height:13.85pt;width:12.7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rFonts w:hint="eastAsia"/>
        </w:rPr>
        <w:t>——</w:t>
      </w:r>
      <w:r>
        <w:rPr>
          <w:rFonts w:hint="eastAsia" w:hAnsi="宋体"/>
        </w:rPr>
        <w:t>作业速度，单位为米每秒</w:t>
      </w:r>
      <w:r>
        <w:rPr>
          <w:rFonts w:hAnsi="宋体"/>
        </w:rPr>
        <w:t>(km/h)</w:t>
      </w:r>
      <w:r>
        <w:rPr>
          <w:rFonts w:hint="eastAsia" w:hAnsi="宋体"/>
        </w:rPr>
        <w:t>；</w:t>
      </w:r>
    </w:p>
    <w:p>
      <w:pPr>
        <w:pStyle w:val="66"/>
        <w:ind w:firstLine="420"/>
        <w:rPr>
          <w:rFonts w:hAnsi="宋体"/>
        </w:rPr>
      </w:pPr>
      <w:r>
        <w:rPr>
          <w:position w:val="-4"/>
        </w:rPr>
        <w:object>
          <v:shape id="_x0000_i1027" o:spt="75" type="#_x0000_t75" style="height:13.85pt;width:11.6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rFonts w:hint="eastAsia"/>
        </w:rPr>
        <w:t>——</w:t>
      </w:r>
      <w:r>
        <w:rPr>
          <w:rFonts w:hint="eastAsia" w:hAnsi="宋体"/>
        </w:rPr>
        <w:t>测区长度，单位为米</w:t>
      </w:r>
      <w:r>
        <w:rPr>
          <w:rFonts w:hAnsi="宋体"/>
        </w:rPr>
        <w:t>(m)</w:t>
      </w:r>
      <w:r>
        <w:rPr>
          <w:rFonts w:hint="eastAsia" w:hAnsi="宋体"/>
        </w:rPr>
        <w:t>；</w:t>
      </w:r>
    </w:p>
    <w:p>
      <w:pPr>
        <w:pStyle w:val="66"/>
        <w:ind w:firstLine="420"/>
        <w:rPr>
          <w:rFonts w:hAnsi="宋体"/>
        </w:rPr>
      </w:pPr>
      <w:r>
        <w:rPr>
          <w:position w:val="-6"/>
        </w:rPr>
        <w:object>
          <v:shape id="_x0000_i1028" o:spt="75" type="#_x0000_t75" style="height:12.75pt;width:7.2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hint="eastAsia"/>
        </w:rPr>
        <w:t>——</w:t>
      </w:r>
      <w:r>
        <w:rPr>
          <w:rFonts w:hint="eastAsia" w:hAnsi="宋体"/>
        </w:rPr>
        <w:t>通过测区的时间，单位为秒（</w:t>
      </w:r>
      <w:r>
        <w:rPr>
          <w:rFonts w:hAnsi="宋体"/>
        </w:rPr>
        <w:t>s</w:t>
      </w:r>
      <w:r>
        <w:rPr>
          <w:rFonts w:hint="eastAsia" w:hAnsi="宋体"/>
        </w:rPr>
        <w:t>）。</w:t>
      </w:r>
    </w:p>
    <w:p>
      <w:pPr>
        <w:pStyle w:val="66"/>
        <w:ind w:firstLine="420"/>
        <w:contextualSpacing/>
        <w:rPr>
          <w:rFonts w:hAnsi="宋体"/>
        </w:rPr>
      </w:pPr>
      <w:r>
        <w:rPr>
          <w:rFonts w:hAnsi="宋体"/>
        </w:rPr>
        <w:t>b</w:t>
      </w:r>
      <w:r>
        <w:rPr>
          <w:rFonts w:hint="eastAsia" w:hAnsi="宋体"/>
        </w:rPr>
        <w:t>）总损失率</w:t>
      </w:r>
    </w:p>
    <w:p>
      <w:pPr>
        <w:pStyle w:val="66"/>
        <w:ind w:firstLine="420"/>
        <w:contextualSpacing/>
        <w:rPr>
          <w:rFonts w:hAnsi="宋体"/>
        </w:rPr>
      </w:pPr>
      <w:r>
        <w:rPr>
          <w:rFonts w:hint="eastAsia" w:hAnsi="宋体"/>
        </w:rPr>
        <w:t>1）落地籽粒损失率</w:t>
      </w:r>
    </w:p>
    <w:p>
      <w:pPr>
        <w:pStyle w:val="66"/>
        <w:ind w:firstLine="420"/>
      </w:pPr>
      <w:bookmarkStart w:id="77" w:name="_Toc471142517"/>
      <w:bookmarkStart w:id="78" w:name="_Toc471142676"/>
      <w:r>
        <w:rPr>
          <w:rFonts w:hint="eastAsia"/>
        </w:rPr>
        <w:t>称出在测区内的落地籽粒质量、夹带籽粒质量和籽粒仓全部籽粒质量，按式（2）计算籽粒损失率。</w:t>
      </w:r>
      <w:bookmarkEnd w:id="77"/>
      <w:bookmarkEnd w:id="78"/>
    </w:p>
    <w:p>
      <w:pPr>
        <w:pStyle w:val="146"/>
        <w:jc w:val="center"/>
      </w:pPr>
      <w:r>
        <w:tab/>
      </w:r>
      <w:r>
        <w:rPr>
          <w:position w:val="-30"/>
        </w:rPr>
        <w:object>
          <v:shape id="_x0000_i1029" o:spt="75" type="#_x0000_t75" style="height:33.8pt;width:81.4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tab/>
      </w:r>
      <w:r>
        <w:rPr>
          <w:rFonts w:hint="eastAsia"/>
        </w:rPr>
        <w:t>（2）</w:t>
      </w:r>
    </w:p>
    <w:p>
      <w:pPr>
        <w:pStyle w:val="66"/>
        <w:ind w:firstLine="420"/>
      </w:pPr>
      <w:r>
        <w:rPr>
          <w:rFonts w:hint="eastAsia"/>
        </w:rPr>
        <w:t>式中：</w:t>
      </w:r>
    </w:p>
    <w:p>
      <w:pPr>
        <w:pStyle w:val="66"/>
        <w:spacing w:line="440" w:lineRule="exact"/>
        <w:ind w:firstLine="420"/>
      </w:pPr>
      <w:r>
        <w:rPr>
          <w:position w:val="-10"/>
        </w:rPr>
        <w:object>
          <v:shape id="_x0000_i1030" o:spt="75" type="#_x0000_t75" style="height:16.05pt;width:14.95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0" r:id="rId28">
            <o:LockedField>false</o:LockedField>
          </o:OLEObject>
        </w:object>
      </w:r>
      <w:r>
        <w:rPr>
          <w:rFonts w:hint="eastAsia"/>
        </w:rPr>
        <w:t xml:space="preserve">  ——落地籽粒损失率；</w:t>
      </w:r>
    </w:p>
    <w:p>
      <w:pPr>
        <w:pStyle w:val="66"/>
        <w:spacing w:line="440" w:lineRule="exact"/>
        <w:ind w:firstLine="420"/>
      </w:pPr>
      <w:r>
        <w:rPr>
          <w:position w:val="-10"/>
        </w:rPr>
        <w:object>
          <v:shape id="_x0000_i1031" o:spt="75" type="#_x0000_t75" style="height:16.05pt;width:16.6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1" r:id="rId30">
            <o:LockedField>false</o:LockedField>
          </o:OLEObject>
        </w:object>
      </w:r>
      <w:r>
        <w:rPr>
          <w:rFonts w:hint="eastAsia"/>
          <w:position w:val="-10"/>
        </w:rPr>
        <w:t xml:space="preserve"> </w:t>
      </w:r>
      <w:r>
        <w:rPr>
          <w:rFonts w:hint="eastAsia"/>
          <w:position w:val="-10"/>
          <w:sz w:val="10"/>
          <w:szCs w:val="10"/>
        </w:rPr>
        <w:t xml:space="preserve">  </w:t>
      </w:r>
      <w:r>
        <w:rPr>
          <w:rFonts w:hint="eastAsia"/>
        </w:rPr>
        <w:t>——落地籽粒质量，单位为克（g）；</w:t>
      </w:r>
    </w:p>
    <w:p>
      <w:pPr>
        <w:pStyle w:val="66"/>
        <w:spacing w:line="440" w:lineRule="exact"/>
        <w:ind w:firstLine="420"/>
      </w:pPr>
      <w:r>
        <w:rPr>
          <w:position w:val="-14"/>
        </w:rPr>
        <w:object>
          <v:shape id="_x0000_i1032" o:spt="75" type="#_x0000_t75" style="height:18.85pt;width:17.15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2" r:id="rId32">
            <o:LockedField>false</o:LockedField>
          </o:OLEObject>
        </w:object>
      </w:r>
      <w:r>
        <w:rPr>
          <w:rFonts w:hint="eastAsia"/>
          <w:position w:val="-12"/>
          <w:sz w:val="10"/>
          <w:szCs w:val="10"/>
        </w:rPr>
        <w:t xml:space="preserve">    </w:t>
      </w:r>
      <w:r>
        <w:rPr>
          <w:rFonts w:hint="eastAsia"/>
        </w:rPr>
        <w:t>——籽粒仓全部物料质量，单位为克（g）；</w:t>
      </w:r>
    </w:p>
    <w:p>
      <w:pPr>
        <w:pStyle w:val="66"/>
        <w:spacing w:line="440" w:lineRule="exact"/>
        <w:ind w:firstLine="420"/>
      </w:pPr>
      <w:r>
        <w:rPr>
          <w:position w:val="-12"/>
        </w:rPr>
        <w:object>
          <v:shape id="_x0000_i1033" o:spt="75" type="#_x0000_t75" style="height:18.3pt;width:16.6pt;" o:ole="t" filled="f" o:preferrelative="t" stroked="f" coordsize="21600,21600">
            <v:path/>
            <v:fill on="f" focussize="0,0"/>
            <v:stroke on="f" joinstyle="miter"/>
            <v:imagedata r:id="rId35" o:title=""/>
            <o:lock v:ext="edit" aspectratio="t"/>
            <w10:wrap type="none"/>
            <w10:anchorlock/>
          </v:shape>
          <o:OLEObject Type="Embed" ProgID="Equation.3" ShapeID="_x0000_i1033" DrawAspect="Content" ObjectID="_1468075733" r:id="rId34">
            <o:LockedField>false</o:LockedField>
          </o:OLEObject>
        </w:object>
      </w:r>
      <w:r>
        <w:rPr>
          <w:rFonts w:hint="eastAsia"/>
        </w:rPr>
        <w:t xml:space="preserve">  ——</w:t>
      </w:r>
      <w:r>
        <w:t>籽粒仓全部籽粒质量</w:t>
      </w:r>
      <w:r>
        <w:rPr>
          <w:rFonts w:hint="eastAsia"/>
        </w:rPr>
        <w:t>：</w:t>
      </w:r>
      <w:r>
        <w:rPr>
          <w:position w:val="-12"/>
        </w:rPr>
        <w:object>
          <v:shape id="_x0000_i1034" o:spt="75" type="#_x0000_t75" style="height:18.3pt;width:16.6pt;" o:ole="t" filled="f" o:preferrelative="t" stroked="f" coordsize="21600,21600">
            <v:path/>
            <v:fill on="f" focussize="0,0"/>
            <v:stroke on="f" joinstyle="miter"/>
            <v:imagedata r:id="rId37" o:title=""/>
            <o:lock v:ext="edit" aspectratio="t"/>
            <w10:wrap type="none"/>
            <w10:anchorlock/>
          </v:shape>
          <o:OLEObject Type="Embed" ProgID="Equation.3" ShapeID="_x0000_i1034" DrawAspect="Content" ObjectID="_1468075734" r:id="rId36">
            <o:LockedField>false</o:LockedField>
          </o:OLEObject>
        </w:object>
      </w:r>
      <w:r>
        <w:rPr>
          <w:rFonts w:hint="eastAsia"/>
        </w:rPr>
        <w:t>=</w:t>
      </w:r>
      <w:r>
        <w:rPr>
          <w:position w:val="-14"/>
        </w:rPr>
        <w:object>
          <v:shape id="_x0000_i1035" o:spt="75" type="#_x0000_t75" style="height:18.85pt;width:17.1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r>
        <w:rPr>
          <w:rFonts w:hint="eastAsia"/>
        </w:rPr>
        <w:t>×</w:t>
      </w:r>
      <w:r>
        <w:rPr>
          <w:position w:val="-10"/>
        </w:rPr>
        <w:object>
          <v:shape id="_x0000_i1036" o:spt="75" type="#_x0000_t75" style="height:16.05pt;width:14.95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6" r:id="rId40">
            <o:LockedField>false</o:LockedField>
          </o:OLEObject>
        </w:object>
      </w:r>
      <w:r>
        <w:rPr>
          <w:rFonts w:hint="eastAsia"/>
        </w:rPr>
        <w:t>，</w:t>
      </w:r>
      <w:r>
        <w:t>单位为克</w:t>
      </w:r>
      <w:r>
        <w:rPr>
          <w:rFonts w:hint="eastAsia"/>
        </w:rPr>
        <w:t>（g）；</w:t>
      </w:r>
    </w:p>
    <w:p>
      <w:pPr>
        <w:pStyle w:val="66"/>
        <w:spacing w:line="440" w:lineRule="exact"/>
        <w:ind w:firstLine="420"/>
        <w:contextualSpacing/>
      </w:pPr>
      <w:r>
        <w:rPr>
          <w:position w:val="-10"/>
        </w:rPr>
        <w:object>
          <v:shape id="_x0000_i1037" o:spt="75" type="#_x0000_t75" style="height:16.05pt;width:15.5pt;" o:ole="t" filled="f" o:preferrelative="t" stroked="f" coordsize="21600,21600">
            <v:path/>
            <v:fill on="f" focussize="0,0"/>
            <v:stroke on="f" joinstyle="miter"/>
            <v:imagedata r:id="rId43" o:title=""/>
            <o:lock v:ext="edit" aspectratio="t"/>
            <w10:wrap type="none"/>
            <w10:anchorlock/>
          </v:shape>
          <o:OLEObject Type="Embed" ProgID="Equation.3" ShapeID="_x0000_i1037" DrawAspect="Content" ObjectID="_1468075737" r:id="rId42">
            <o:LockedField>false</o:LockedField>
          </o:OLEObject>
        </w:object>
      </w:r>
      <w:r>
        <w:rPr>
          <w:rFonts w:hint="eastAsia"/>
          <w:position w:val="-10"/>
          <w:sz w:val="10"/>
          <w:szCs w:val="10"/>
        </w:rPr>
        <w:t xml:space="preserve">    </w:t>
      </w:r>
      <w:r>
        <w:rPr>
          <w:rFonts w:hint="eastAsia"/>
        </w:rPr>
        <w:t>——籽粒总质量：</w:t>
      </w:r>
      <w:r>
        <w:rPr>
          <w:position w:val="-10"/>
        </w:rPr>
        <w:object>
          <v:shape id="_x0000_i1038" o:spt="75" type="#_x0000_t75" style="height:16.05pt;width:15.5pt;" o:ole="t" filled="f" o:preferrelative="t" stroked="f" coordsize="21600,21600">
            <v:path/>
            <v:fill on="f" focussize="0,0"/>
            <v:stroke on="f" joinstyle="miter"/>
            <v:imagedata r:id="rId45" o:title=""/>
            <o:lock v:ext="edit" aspectratio="t"/>
            <w10:wrap type="none"/>
            <w10:anchorlock/>
          </v:shape>
          <o:OLEObject Type="Embed" ProgID="Equation.3" ShapeID="_x0000_i1038" DrawAspect="Content" ObjectID="_1468075738" r:id="rId44">
            <o:LockedField>false</o:LockedField>
          </o:OLEObject>
        </w:object>
      </w:r>
      <w:r>
        <w:rPr>
          <w:rFonts w:hint="eastAsia"/>
        </w:rPr>
        <w:t>=</w:t>
      </w:r>
      <w:r>
        <w:rPr>
          <w:position w:val="-12"/>
        </w:rPr>
        <w:object>
          <v:shape id="_x0000_i1039" o:spt="75" type="#_x0000_t75" style="height:18.3pt;width:16.6pt;" o:ole="t" filled="f" o:preferrelative="t" stroked="f" coordsize="21600,21600">
            <v:path/>
            <v:fill on="f" focussize="0,0"/>
            <v:stroke on="f" joinstyle="miter"/>
            <v:imagedata r:id="rId47" o:title=""/>
            <o:lock v:ext="edit" aspectratio="t"/>
            <w10:wrap type="none"/>
            <w10:anchorlock/>
          </v:shape>
          <o:OLEObject Type="Embed" ProgID="Equation.3" ShapeID="_x0000_i1039" DrawAspect="Content" ObjectID="_1468075739" r:id="rId46">
            <o:LockedField>false</o:LockedField>
          </o:OLEObject>
        </w:object>
      </w:r>
      <w:r>
        <w:rPr>
          <w:rFonts w:hint="eastAsia"/>
        </w:rPr>
        <w:t>+</w:t>
      </w:r>
      <w:r>
        <w:rPr>
          <w:position w:val="-10"/>
        </w:rPr>
        <w:object>
          <v:shape id="_x0000_i1040" o:spt="75" type="#_x0000_t75" style="height:16.05pt;width:16.6pt;" o:ole="t" filled="f" o:preferrelative="t" stroked="f" coordsize="21600,21600">
            <v:path/>
            <v:fill on="f" focussize="0,0"/>
            <v:stroke on="f" joinstyle="miter"/>
            <v:imagedata r:id="rId49" o:title=""/>
            <o:lock v:ext="edit" aspectratio="t"/>
            <w10:wrap type="none"/>
            <w10:anchorlock/>
          </v:shape>
          <o:OLEObject Type="Embed" ProgID="Equation.3" ShapeID="_x0000_i1040" DrawAspect="Content" ObjectID="_1468075740" r:id="rId48">
            <o:LockedField>false</o:LockedField>
          </o:OLEObject>
        </w:object>
      </w:r>
      <w:r>
        <w:rPr>
          <w:rFonts w:hint="eastAsia"/>
        </w:rPr>
        <w:t>+</w:t>
      </w:r>
      <w:r>
        <w:rPr>
          <w:position w:val="-12"/>
        </w:rPr>
        <w:object>
          <v:shape id="_x0000_i1041" o:spt="75" type="#_x0000_t75" style="height:17.7pt;width:16.05pt;" o:ole="t" filled="f" o:preferrelative="t" stroked="f" coordsize="21600,21600">
            <v:path/>
            <v:fill on="f" focussize="0,0"/>
            <v:stroke on="f" joinstyle="miter"/>
            <v:imagedata r:id="rId51" o:title=""/>
            <o:lock v:ext="edit" aspectratio="t"/>
            <w10:wrap type="none"/>
            <w10:anchorlock/>
          </v:shape>
          <o:OLEObject Type="Embed" ProgID="Equation.3" ShapeID="_x0000_i1041" DrawAspect="Content" ObjectID="_1468075741" r:id="rId50">
            <o:LockedField>false</o:LockedField>
          </o:OLEObject>
        </w:object>
      </w:r>
      <w:r>
        <w:rPr>
          <w:rFonts w:hint="eastAsia"/>
        </w:rPr>
        <w:t>，单位为克（g）。</w:t>
      </w:r>
    </w:p>
    <w:p>
      <w:pPr>
        <w:pStyle w:val="66"/>
        <w:spacing w:line="440" w:lineRule="exact"/>
        <w:ind w:firstLine="420"/>
        <w:contextualSpacing/>
        <w:rPr>
          <w:rFonts w:hAnsi="宋体"/>
        </w:rPr>
      </w:pPr>
      <w:r>
        <w:rPr>
          <w:rFonts w:hint="eastAsia" w:hAnsi="宋体"/>
        </w:rPr>
        <w:t>2）夹带籽粒损失率</w:t>
      </w:r>
    </w:p>
    <w:p>
      <w:pPr>
        <w:pStyle w:val="66"/>
        <w:spacing w:line="440" w:lineRule="exact"/>
        <w:ind w:firstLine="420"/>
        <w:contextualSpacing/>
      </w:pPr>
      <w:bookmarkStart w:id="79" w:name="_Toc471142677"/>
      <w:bookmarkStart w:id="80" w:name="_Toc471142518"/>
      <w:r>
        <w:rPr>
          <w:rFonts w:hint="eastAsia"/>
        </w:rPr>
        <w:t>在测区内，称出夹带籽粒质量，并按式（3）计算夹带籽粒损失率。</w:t>
      </w:r>
      <w:bookmarkEnd w:id="79"/>
      <w:bookmarkEnd w:id="80"/>
    </w:p>
    <w:p>
      <w:pPr>
        <w:pStyle w:val="146"/>
      </w:pPr>
      <w:r>
        <w:tab/>
      </w:r>
      <w:r>
        <w:rPr>
          <w:position w:val="-30"/>
        </w:rPr>
        <w:object>
          <v:shape id="_x0000_i1042" o:spt="75" type="#_x0000_t75" style="height:33.25pt;width:79.2pt;" o:ole="t" filled="f" o:preferrelative="t" stroked="f" coordsize="21600,21600">
            <v:path/>
            <v:fill on="f" focussize="0,0"/>
            <v:stroke on="f" joinstyle="miter"/>
            <v:imagedata r:id="rId53" o:title=""/>
            <o:lock v:ext="edit" aspectratio="t"/>
            <w10:wrap type="none"/>
            <w10:anchorlock/>
          </v:shape>
          <o:OLEObject Type="Embed" ProgID="Equation.3" ShapeID="_x0000_i1042" DrawAspect="Content" ObjectID="_1468075742" r:id="rId52">
            <o:LockedField>false</o:LockedField>
          </o:OLEObject>
        </w:object>
      </w:r>
      <w:r>
        <w:tab/>
      </w:r>
      <w:r>
        <w:rPr>
          <w:rFonts w:hint="eastAsia"/>
        </w:rPr>
        <w:t>（3）</w:t>
      </w:r>
    </w:p>
    <w:p>
      <w:pPr>
        <w:pStyle w:val="66"/>
        <w:spacing w:line="440" w:lineRule="exact"/>
        <w:ind w:firstLine="420"/>
      </w:pPr>
      <w:r>
        <w:rPr>
          <w:rFonts w:hint="eastAsia"/>
        </w:rPr>
        <w:t>式中：</w:t>
      </w:r>
    </w:p>
    <w:p>
      <w:pPr>
        <w:pStyle w:val="66"/>
        <w:spacing w:line="440" w:lineRule="exact"/>
        <w:ind w:firstLine="420"/>
      </w:pPr>
      <w:r>
        <w:rPr>
          <w:position w:val="-12"/>
        </w:rPr>
        <w:object>
          <v:shape id="_x0000_i1043" o:spt="75" type="#_x0000_t75" style="height:17.7pt;width:14.95pt;" o:ole="t" filled="f" o:preferrelative="t" stroked="f" coordsize="21600,21600">
            <v:path/>
            <v:fill on="f" focussize="0,0"/>
            <v:stroke on="f" joinstyle="miter"/>
            <v:imagedata r:id="rId55" o:title=""/>
            <o:lock v:ext="edit" aspectratio="t"/>
            <w10:wrap type="none"/>
            <w10:anchorlock/>
          </v:shape>
          <o:OLEObject Type="Embed" ProgID="Equation.3" ShapeID="_x0000_i1043" DrawAspect="Content" ObjectID="_1468075743" r:id="rId54">
            <o:LockedField>false</o:LockedField>
          </o:OLEObject>
        </w:object>
      </w:r>
      <w:r>
        <w:rPr>
          <w:rFonts w:hint="eastAsia"/>
          <w:position w:val="-12"/>
        </w:rPr>
        <w:t xml:space="preserve"> </w:t>
      </w:r>
      <w:r>
        <w:rPr>
          <w:rFonts w:hint="eastAsia"/>
        </w:rPr>
        <w:t>——夹带籽粒损失率；</w:t>
      </w:r>
    </w:p>
    <w:p>
      <w:pPr>
        <w:pStyle w:val="66"/>
        <w:spacing w:line="440" w:lineRule="exact"/>
        <w:ind w:firstLine="420"/>
      </w:pPr>
      <w:r>
        <w:rPr>
          <w:position w:val="-12"/>
        </w:rPr>
        <w:object>
          <v:shape id="_x0000_i1044" o:spt="75" type="#_x0000_t75" style="height:17.7pt;width:14.95pt;" o:ole="t" filled="f" o:preferrelative="t" stroked="f" coordsize="21600,21600">
            <v:path/>
            <v:fill on="f" focussize="0,0"/>
            <v:stroke on="f" joinstyle="miter"/>
            <v:imagedata r:id="rId57" o:title=""/>
            <o:lock v:ext="edit" aspectratio="t"/>
            <w10:wrap type="none"/>
            <w10:anchorlock/>
          </v:shape>
          <o:OLEObject Type="Embed" ProgID="Equation.3" ShapeID="_x0000_i1044" DrawAspect="Content" ObjectID="_1468075744" r:id="rId56">
            <o:LockedField>false</o:LockedField>
          </o:OLEObject>
        </w:object>
      </w:r>
      <w:r>
        <w:rPr>
          <w:rFonts w:hint="eastAsia"/>
          <w:position w:val="-12"/>
        </w:rPr>
        <w:t xml:space="preserve"> </w:t>
      </w:r>
      <w:r>
        <w:rPr>
          <w:rFonts w:hint="eastAsia"/>
        </w:rPr>
        <w:t>——夹带籽粒质量，单位为克（g）；</w:t>
      </w:r>
    </w:p>
    <w:p>
      <w:pPr>
        <w:pStyle w:val="66"/>
        <w:ind w:firstLine="420"/>
        <w:contextualSpacing/>
        <w:rPr>
          <w:rFonts w:hAnsi="宋体"/>
        </w:rPr>
      </w:pPr>
      <w:r>
        <w:rPr>
          <w:rFonts w:hint="eastAsia" w:hAnsi="宋体"/>
        </w:rPr>
        <w:t>3）总损失率</w:t>
      </w:r>
    </w:p>
    <w:p>
      <w:pPr>
        <w:pStyle w:val="66"/>
        <w:ind w:firstLine="420"/>
      </w:pPr>
      <w:bookmarkStart w:id="81" w:name="_Toc471142678"/>
      <w:bookmarkStart w:id="82" w:name="_Toc471142519"/>
      <w:r>
        <w:rPr>
          <w:rFonts w:hint="eastAsia"/>
        </w:rPr>
        <w:t>在测定区内按式（4）计算：</w:t>
      </w:r>
      <w:bookmarkEnd w:id="81"/>
      <w:bookmarkEnd w:id="82"/>
    </w:p>
    <w:p>
      <w:pPr>
        <w:pStyle w:val="146"/>
      </w:pPr>
      <w:r>
        <w:tab/>
      </w:r>
      <w:r>
        <w:rPr>
          <w:position w:val="-12"/>
        </w:rPr>
        <w:object>
          <v:shape id="_x0000_i1045" o:spt="75" type="#_x0000_t75" style="height:17.7pt;width:59.8pt;" o:ole="t" filled="f" o:preferrelative="t" stroked="f" coordsize="21600,21600">
            <v:path/>
            <v:fill on="f" focussize="0,0"/>
            <v:stroke on="f" joinstyle="miter"/>
            <v:imagedata r:id="rId59" o:title=""/>
            <o:lock v:ext="edit" aspectratio="t"/>
            <w10:wrap type="none"/>
            <w10:anchorlock/>
          </v:shape>
          <o:OLEObject Type="Embed" ProgID="Equation.3" ShapeID="_x0000_i1045" DrawAspect="Content" ObjectID="_1468075745" r:id="rId58">
            <o:LockedField>false</o:LockedField>
          </o:OLEObject>
        </w:object>
      </w:r>
      <w:r>
        <w:tab/>
      </w:r>
      <w:r>
        <w:rPr>
          <w:rFonts w:hint="eastAsia"/>
        </w:rPr>
        <w:t>（4）</w:t>
      </w:r>
    </w:p>
    <w:p>
      <w:pPr>
        <w:pStyle w:val="66"/>
        <w:ind w:firstLine="420"/>
        <w:rPr>
          <w:rFonts w:ascii="Times New Roman"/>
          <w:color w:val="000000"/>
        </w:rPr>
      </w:pPr>
      <w:r>
        <w:rPr>
          <w:rFonts w:hint="eastAsia" w:ascii="Times New Roman"/>
          <w:color w:val="000000"/>
        </w:rPr>
        <w:t>式中：</w:t>
      </w:r>
    </w:p>
    <w:p>
      <w:pPr>
        <w:pStyle w:val="66"/>
        <w:spacing w:line="400" w:lineRule="exact"/>
        <w:ind w:firstLine="420"/>
      </w:pPr>
      <w:r>
        <w:rPr>
          <w:position w:val="-10"/>
        </w:rPr>
        <w:object>
          <v:shape id="_x0000_i1046" o:spt="75" type="#_x0000_t75" style="height:16.05pt;width:13.85pt;" o:ole="t" filled="f" o:preferrelative="t" stroked="f" coordsize="21600,21600">
            <v:path/>
            <v:fill on="f" focussize="0,0"/>
            <v:stroke on="f" joinstyle="miter"/>
            <v:imagedata r:id="rId61" o:title=""/>
            <o:lock v:ext="edit" aspectratio="t"/>
            <w10:wrap type="none"/>
            <w10:anchorlock/>
          </v:shape>
          <o:OLEObject Type="Embed" ProgID="Equation.3" ShapeID="_x0000_i1046" DrawAspect="Content" ObjectID="_1468075746" r:id="rId60">
            <o:LockedField>false</o:LockedField>
          </o:OLEObject>
        </w:object>
      </w:r>
      <w:r>
        <w:rPr>
          <w:rFonts w:hint="eastAsia"/>
        </w:rPr>
        <w:t xml:space="preserve">  ——总损失率；</w:t>
      </w:r>
    </w:p>
    <w:p>
      <w:pPr>
        <w:pStyle w:val="66"/>
        <w:spacing w:line="400" w:lineRule="exact"/>
        <w:ind w:firstLine="420"/>
        <w:contextualSpacing/>
        <w:rPr>
          <w:rFonts w:hAnsi="宋体"/>
        </w:rPr>
      </w:pPr>
      <w:r>
        <w:rPr>
          <w:rFonts w:hAnsi="宋体"/>
        </w:rPr>
        <w:t>c</w:t>
      </w:r>
      <w:r>
        <w:rPr>
          <w:rFonts w:hint="eastAsia" w:hAnsi="宋体"/>
        </w:rPr>
        <w:t>）籽粒划伤率</w:t>
      </w:r>
    </w:p>
    <w:p>
      <w:pPr>
        <w:pStyle w:val="66"/>
        <w:ind w:firstLine="420"/>
      </w:pPr>
      <w:bookmarkStart w:id="83" w:name="_Toc471142521"/>
      <w:bookmarkStart w:id="84" w:name="_Toc471142680"/>
      <w:r>
        <w:rPr>
          <w:rFonts w:hint="eastAsia"/>
        </w:rPr>
        <w:t>从籽粒仓中取籽粒样品3份，每份样品质量不少于</w:t>
      </w:r>
      <w:r>
        <w:t>1000g</w:t>
      </w:r>
      <w:r>
        <w:rPr>
          <w:rFonts w:hint="eastAsia"/>
        </w:rPr>
        <w:t>，用四分法将每份样品分成4份小样，每份样品取1份小样称出去除杂物（包括茎叶和茎杆等）籽粒质量和划伤籽粒质量，按式（5）计算籽粒破损率，共测3次，取平均值。</w:t>
      </w:r>
      <w:bookmarkEnd w:id="83"/>
      <w:bookmarkEnd w:id="84"/>
    </w:p>
    <w:p>
      <w:pPr>
        <w:pStyle w:val="146"/>
      </w:pPr>
      <w:bookmarkStart w:id="85" w:name="_Toc471142522"/>
      <w:bookmarkStart w:id="86" w:name="_Toc471142681"/>
      <w:r>
        <w:tab/>
      </w:r>
      <w:r>
        <w:rPr>
          <w:position w:val="-30"/>
        </w:rPr>
        <w:object>
          <v:shape id="_x0000_i1047" o:spt="75" type="#_x0000_t75" style="height:33.8pt;width:88.05pt;" o:ole="t" filled="f" o:preferrelative="t" stroked="f" coordsize="21600,21600">
            <v:path/>
            <v:fill on="f" focussize="0,0"/>
            <v:stroke on="f" joinstyle="miter"/>
            <v:imagedata r:id="rId63" o:title=""/>
            <o:lock v:ext="edit" aspectratio="t"/>
            <w10:wrap type="none"/>
            <w10:anchorlock/>
          </v:shape>
          <o:OLEObject Type="Embed" ProgID="Equation.3" ShapeID="_x0000_i1047" DrawAspect="Content" ObjectID="_1468075747" r:id="rId62">
            <o:LockedField>false</o:LockedField>
          </o:OLEObject>
        </w:object>
      </w:r>
      <w:bookmarkEnd w:id="85"/>
      <w:bookmarkEnd w:id="86"/>
      <w:r>
        <w:tab/>
      </w:r>
      <w:r>
        <w:rPr>
          <w:rFonts w:hint="eastAsia"/>
        </w:rPr>
        <w:t>（5）</w:t>
      </w:r>
    </w:p>
    <w:p>
      <w:pPr>
        <w:pStyle w:val="66"/>
        <w:ind w:firstLine="420"/>
        <w:rPr>
          <w:rFonts w:ascii="Times New Roman"/>
          <w:color w:val="000000"/>
        </w:rPr>
      </w:pPr>
      <w:r>
        <w:rPr>
          <w:rFonts w:hint="eastAsia" w:ascii="Times New Roman"/>
          <w:color w:val="000000"/>
        </w:rPr>
        <w:t>式中：</w:t>
      </w:r>
    </w:p>
    <w:p>
      <w:pPr>
        <w:pStyle w:val="66"/>
        <w:spacing w:line="360" w:lineRule="exact"/>
        <w:ind w:firstLine="420"/>
      </w:pPr>
      <w:r>
        <w:rPr>
          <w:position w:val="-10"/>
        </w:rPr>
        <w:object>
          <v:shape id="_x0000_i1048" o:spt="75" type="#_x0000_t75" style="height:16.05pt;width:18.3pt;" o:ole="t" filled="f" o:preferrelative="t" stroked="f" coordsize="21600,21600">
            <v:path/>
            <v:fill on="f" focussize="0,0"/>
            <v:stroke on="f" joinstyle="miter"/>
            <v:imagedata r:id="rId65" o:title=""/>
            <o:lock v:ext="edit" aspectratio="t"/>
            <w10:wrap type="none"/>
            <w10:anchorlock/>
          </v:shape>
          <o:OLEObject Type="Embed" ProgID="Equation.3" ShapeID="_x0000_i1048" DrawAspect="Content" ObjectID="_1468075748" r:id="rId64">
            <o:LockedField>false</o:LockedField>
          </o:OLEObject>
        </w:object>
      </w:r>
      <w:r>
        <w:rPr>
          <w:rFonts w:hint="eastAsia"/>
          <w:position w:val="-10"/>
        </w:rPr>
        <w:t xml:space="preserve"> </w:t>
      </w:r>
      <w:r>
        <w:rPr>
          <w:rFonts w:hint="eastAsia"/>
        </w:rPr>
        <w:t>——籽粒划伤率</w:t>
      </w:r>
      <w:r>
        <w:t>;</w:t>
      </w:r>
    </w:p>
    <w:p>
      <w:pPr>
        <w:pStyle w:val="66"/>
        <w:spacing w:line="360" w:lineRule="exact"/>
        <w:ind w:firstLine="420"/>
        <w:rPr>
          <w:rFonts w:ascii="Times New Roman"/>
          <w:color w:val="000000"/>
        </w:rPr>
      </w:pPr>
      <w:r>
        <w:rPr>
          <w:position w:val="-10"/>
        </w:rPr>
        <w:object>
          <v:shape id="_x0000_i1049" o:spt="75" type="#_x0000_t75" style="height:16.05pt;width:18.3pt;" o:ole="t" filled="f" o:preferrelative="t" stroked="f" coordsize="21600,21600">
            <v:path/>
            <v:fill on="f" focussize="0,0"/>
            <v:stroke on="f" joinstyle="miter"/>
            <v:imagedata r:id="rId67" o:title=""/>
            <o:lock v:ext="edit" aspectratio="t"/>
            <w10:wrap type="none"/>
            <w10:anchorlock/>
          </v:shape>
          <o:OLEObject Type="Embed" ProgID="Equation.3" ShapeID="_x0000_i1049" DrawAspect="Content" ObjectID="_1468075749" r:id="rId66">
            <o:LockedField>false</o:LockedField>
          </o:OLEObject>
        </w:object>
      </w:r>
      <w:r>
        <w:rPr>
          <w:rFonts w:hint="eastAsia"/>
          <w:position w:val="-10"/>
        </w:rPr>
        <w:t xml:space="preserve"> </w:t>
      </w:r>
      <w:r>
        <w:rPr>
          <w:rFonts w:hint="eastAsia" w:ascii="Times New Roman"/>
          <w:color w:val="000000"/>
        </w:rPr>
        <w:t>——划伤籽粒质量，单位为克（</w:t>
      </w:r>
      <w:r>
        <w:rPr>
          <w:rFonts w:ascii="Times New Roman"/>
          <w:color w:val="000000"/>
        </w:rPr>
        <w:t>g</w:t>
      </w:r>
      <w:r>
        <w:rPr>
          <w:rFonts w:hint="eastAsia" w:ascii="Times New Roman"/>
          <w:color w:val="000000"/>
        </w:rPr>
        <w:t>）</w:t>
      </w:r>
      <w:r>
        <w:rPr>
          <w:rFonts w:ascii="Times New Roman"/>
          <w:color w:val="000000"/>
        </w:rPr>
        <w:t>;</w:t>
      </w:r>
    </w:p>
    <w:p>
      <w:pPr>
        <w:pStyle w:val="66"/>
        <w:spacing w:line="360" w:lineRule="exact"/>
        <w:ind w:firstLine="420"/>
        <w:rPr>
          <w:rFonts w:ascii="Times New Roman"/>
          <w:color w:val="000000"/>
        </w:rPr>
      </w:pPr>
      <w:r>
        <w:rPr>
          <w:position w:val="-10"/>
        </w:rPr>
        <w:object>
          <v:shape id="_x0000_i1050" o:spt="75" type="#_x0000_t75" style="height:16.05pt;width:21.05pt;" o:ole="t" filled="f" o:preferrelative="t" stroked="f" coordsize="21600,21600">
            <v:path/>
            <v:fill on="f" focussize="0,0"/>
            <v:stroke on="f" joinstyle="miter"/>
            <v:imagedata r:id="rId69" o:title=""/>
            <o:lock v:ext="edit" aspectratio="t"/>
            <w10:wrap type="none"/>
            <w10:anchorlock/>
          </v:shape>
          <o:OLEObject Type="Embed" ProgID="Equation.3" ShapeID="_x0000_i1050" DrawAspect="Content" ObjectID="_1468075750" r:id="rId68">
            <o:LockedField>false</o:LockedField>
          </o:OLEObject>
        </w:object>
      </w:r>
      <w:r>
        <w:rPr>
          <w:rFonts w:ascii="Times New Roman"/>
          <w:color w:val="000000"/>
        </w:rPr>
        <w:softHyphen/>
      </w:r>
      <w:r>
        <w:rPr>
          <w:rFonts w:hint="eastAsia" w:ascii="Times New Roman"/>
          <w:color w:val="000000"/>
          <w:sz w:val="10"/>
          <w:szCs w:val="10"/>
        </w:rPr>
        <w:t xml:space="preserve"> </w:t>
      </w:r>
      <w:r>
        <w:rPr>
          <w:rFonts w:hint="eastAsia" w:ascii="Times New Roman"/>
          <w:color w:val="000000"/>
        </w:rPr>
        <w:t>——小样去除杂质后籽粒质量，单位为克（</w:t>
      </w:r>
      <w:r>
        <w:rPr>
          <w:rFonts w:ascii="Times New Roman"/>
          <w:color w:val="000000"/>
        </w:rPr>
        <w:t>g</w:t>
      </w:r>
      <w:r>
        <w:rPr>
          <w:rFonts w:hint="eastAsia" w:ascii="Times New Roman"/>
          <w:color w:val="000000"/>
        </w:rPr>
        <w:t>）。</w:t>
      </w:r>
    </w:p>
    <w:p>
      <w:pPr>
        <w:pStyle w:val="66"/>
        <w:ind w:firstLine="420"/>
        <w:contextualSpacing/>
        <w:rPr>
          <w:rFonts w:hAnsi="宋体"/>
        </w:rPr>
      </w:pPr>
      <w:r>
        <w:rPr>
          <w:rFonts w:hAnsi="宋体"/>
        </w:rPr>
        <w:t>d</w:t>
      </w:r>
      <w:r>
        <w:rPr>
          <w:rFonts w:hint="eastAsia" w:hAnsi="宋体"/>
        </w:rPr>
        <w:t>）籽粒含杂率</w:t>
      </w:r>
    </w:p>
    <w:p>
      <w:pPr>
        <w:pStyle w:val="66"/>
        <w:ind w:firstLine="420"/>
      </w:pPr>
      <w:bookmarkStart w:id="87" w:name="_Toc469468816"/>
      <w:bookmarkStart w:id="88" w:name="_Toc469468908"/>
      <w:bookmarkStart w:id="89" w:name="_Toc469468933"/>
      <w:bookmarkStart w:id="90" w:name="_Toc469497880"/>
      <w:bookmarkStart w:id="91" w:name="_Toc469497985"/>
      <w:bookmarkStart w:id="92" w:name="_Toc469498061"/>
      <w:r>
        <w:rPr>
          <w:rFonts w:hint="eastAsia"/>
        </w:rPr>
        <w:t>从籽粒仓中取籽粒样品3份，每份样品质量不少于</w:t>
      </w:r>
      <w:r>
        <w:t>1000g</w:t>
      </w:r>
      <w:r>
        <w:rPr>
          <w:rFonts w:hint="eastAsia"/>
        </w:rPr>
        <w:t>，用四分法将每份样品分成4份小样，每份样品取1份小样分别称出样品质量和杂物（包括茎叶和茎杆等）质量，按式（6）计算籽粒含杂率</w:t>
      </w:r>
      <w:bookmarkEnd w:id="87"/>
      <w:bookmarkEnd w:id="88"/>
      <w:bookmarkEnd w:id="89"/>
      <w:bookmarkEnd w:id="90"/>
      <w:bookmarkEnd w:id="91"/>
      <w:bookmarkEnd w:id="92"/>
      <w:r>
        <w:rPr>
          <w:rFonts w:hint="eastAsia"/>
        </w:rPr>
        <w:t>，共测3次，取平均值。</w:t>
      </w:r>
    </w:p>
    <w:p>
      <w:pPr>
        <w:pStyle w:val="146"/>
      </w:pPr>
      <w:bookmarkStart w:id="93" w:name="_Toc469468817"/>
      <w:bookmarkStart w:id="94" w:name="_Toc469468909"/>
      <w:bookmarkStart w:id="95" w:name="_Toc469468934"/>
      <w:bookmarkStart w:id="96" w:name="_Toc469497881"/>
      <w:bookmarkStart w:id="97" w:name="_Toc469497986"/>
      <w:bookmarkStart w:id="98" w:name="_Toc469498062"/>
      <w:r>
        <w:tab/>
      </w:r>
      <w:r>
        <w:rPr>
          <w:position w:val="-30"/>
        </w:rPr>
        <w:object>
          <v:shape id="_x0000_i1051" o:spt="75" type="#_x0000_t75" style="height:33.8pt;width:82.5pt;" o:ole="t" filled="f" o:preferrelative="t" stroked="f" coordsize="21600,21600">
            <v:path/>
            <v:fill on="f" focussize="0,0"/>
            <v:stroke on="f" joinstyle="miter"/>
            <v:imagedata r:id="rId71" o:title=""/>
            <o:lock v:ext="edit" aspectratio="t"/>
            <w10:wrap type="none"/>
            <w10:anchorlock/>
          </v:shape>
          <o:OLEObject Type="Embed" ProgID="Equation.3" ShapeID="_x0000_i1051" DrawAspect="Content" ObjectID="_1468075751" r:id="rId70">
            <o:LockedField>false</o:LockedField>
          </o:OLEObject>
        </w:object>
      </w:r>
      <w:bookmarkEnd w:id="93"/>
      <w:bookmarkEnd w:id="94"/>
      <w:bookmarkEnd w:id="95"/>
      <w:bookmarkEnd w:id="96"/>
      <w:bookmarkEnd w:id="97"/>
      <w:bookmarkEnd w:id="98"/>
      <w:r>
        <w:tab/>
      </w:r>
      <w:r>
        <w:rPr>
          <w:rFonts w:hint="eastAsia"/>
        </w:rPr>
        <w:t>（6）</w:t>
      </w:r>
    </w:p>
    <w:p>
      <w:pPr>
        <w:pStyle w:val="66"/>
        <w:ind w:firstLine="420"/>
      </w:pPr>
      <w:r>
        <w:rPr>
          <w:rFonts w:hint="eastAsia"/>
        </w:rPr>
        <w:t>式中：</w:t>
      </w:r>
    </w:p>
    <w:p>
      <w:pPr>
        <w:pStyle w:val="66"/>
        <w:spacing w:line="360" w:lineRule="exact"/>
        <w:ind w:firstLine="420"/>
        <w:rPr>
          <w:rFonts w:ascii="Times New Roman"/>
          <w:color w:val="000000"/>
        </w:rPr>
      </w:pPr>
      <w:r>
        <w:rPr>
          <w:position w:val="-10"/>
        </w:rPr>
        <w:object>
          <v:shape id="_x0000_i1052" o:spt="75" type="#_x0000_t75" style="height:16.05pt;width:16.05pt;" o:ole="t" filled="f" o:preferrelative="t" stroked="f" coordsize="21600,21600">
            <v:path/>
            <v:fill on="f" focussize="0,0"/>
            <v:stroke on="f" joinstyle="miter"/>
            <v:imagedata r:id="rId73" o:title=""/>
            <o:lock v:ext="edit" aspectratio="t"/>
            <w10:wrap type="none"/>
            <w10:anchorlock/>
          </v:shape>
          <o:OLEObject Type="Embed" ProgID="Equation.3" ShapeID="_x0000_i1052" DrawAspect="Content" ObjectID="_1468075752" r:id="rId72">
            <o:LockedField>false</o:LockedField>
          </o:OLEObject>
        </w:object>
      </w:r>
      <w:r>
        <w:rPr>
          <w:rFonts w:hint="eastAsia"/>
        </w:rPr>
        <w:t xml:space="preserve">  ——籽粒含杂率</w:t>
      </w:r>
      <w:r>
        <w:rPr>
          <w:rFonts w:hint="eastAsia" w:ascii="Times New Roman"/>
          <w:color w:val="000000"/>
        </w:rPr>
        <w:t>；</w:t>
      </w:r>
    </w:p>
    <w:p>
      <w:pPr>
        <w:pStyle w:val="66"/>
        <w:spacing w:line="360" w:lineRule="exact"/>
        <w:ind w:firstLine="420"/>
      </w:pPr>
      <w:r>
        <w:rPr>
          <w:position w:val="-10"/>
        </w:rPr>
        <w:object>
          <v:shape id="_x0000_i1053" o:spt="75" type="#_x0000_t75" style="height:16.05pt;width:15.5pt;" o:ole="t" filled="f" o:preferrelative="t" stroked="f" coordsize="21600,21600">
            <v:path/>
            <v:fill on="f" focussize="0,0"/>
            <v:stroke on="f" joinstyle="miter"/>
            <v:imagedata r:id="rId75" o:title=""/>
            <o:lock v:ext="edit" aspectratio="t"/>
            <w10:wrap type="none"/>
            <w10:anchorlock/>
          </v:shape>
          <o:OLEObject Type="Embed" ProgID="Equation.3" ShapeID="_x0000_i1053" DrawAspect="Content" ObjectID="_1468075753" r:id="rId74">
            <o:LockedField>false</o:LockedField>
          </o:OLEObject>
        </w:object>
      </w:r>
      <w:r>
        <w:rPr>
          <w:rFonts w:hint="eastAsia"/>
        </w:rPr>
        <w:t xml:space="preserve">  ——杂物质量，单位为克（</w:t>
      </w:r>
      <w:r>
        <w:t>g</w:t>
      </w:r>
      <w:r>
        <w:rPr>
          <w:rFonts w:hint="eastAsia"/>
        </w:rPr>
        <w:t>）；</w:t>
      </w:r>
    </w:p>
    <w:p>
      <w:pPr>
        <w:pStyle w:val="66"/>
        <w:spacing w:line="360" w:lineRule="exact"/>
        <w:ind w:firstLine="420"/>
        <w:rPr>
          <w:rFonts w:ascii="Times New Roman"/>
          <w:color w:val="000000"/>
        </w:rPr>
      </w:pPr>
      <w:r>
        <w:rPr>
          <w:position w:val="-10"/>
        </w:rPr>
        <w:object>
          <v:shape id="_x0000_i1054" o:spt="75" type="#_x0000_t75" style="height:16.05pt;width:15.5pt;" o:ole="t" filled="f" o:preferrelative="t" stroked="f" coordsize="21600,21600">
            <v:path/>
            <v:fill on="f" focussize="0,0"/>
            <v:stroke on="f" joinstyle="miter"/>
            <v:imagedata r:id="rId77" o:title=""/>
            <o:lock v:ext="edit" aspectratio="t"/>
            <w10:wrap type="none"/>
            <w10:anchorlock/>
          </v:shape>
          <o:OLEObject Type="Embed" ProgID="Equation.3" ShapeID="_x0000_i1054" DrawAspect="Content" ObjectID="_1468075754" r:id="rId76">
            <o:LockedField>false</o:LockedField>
          </o:OLEObject>
        </w:object>
      </w:r>
      <w:r>
        <w:rPr>
          <w:rFonts w:hint="eastAsia"/>
          <w:position w:val="-10"/>
        </w:rPr>
        <w:t xml:space="preserve">  </w:t>
      </w:r>
      <w:r>
        <w:rPr>
          <w:rFonts w:hint="eastAsia" w:ascii="Times New Roman"/>
          <w:color w:val="000000"/>
        </w:rPr>
        <w:t>——小样质量，单位为克（</w:t>
      </w:r>
      <w:r>
        <w:rPr>
          <w:rFonts w:ascii="Times New Roman"/>
          <w:color w:val="000000"/>
        </w:rPr>
        <w:t>g</w:t>
      </w:r>
      <w:r>
        <w:rPr>
          <w:rFonts w:hint="eastAsia" w:ascii="Times New Roman"/>
          <w:color w:val="000000"/>
        </w:rPr>
        <w:t>）。</w:t>
      </w:r>
    </w:p>
    <w:p>
      <w:pPr>
        <w:pStyle w:val="66"/>
        <w:ind w:firstLine="420"/>
      </w:pPr>
      <w:r>
        <w:rPr>
          <w:rFonts w:hint="eastAsia"/>
        </w:rPr>
        <w:t>e）籽粒破损率</w:t>
      </w:r>
    </w:p>
    <w:p>
      <w:pPr>
        <w:pStyle w:val="66"/>
        <w:ind w:firstLine="420"/>
      </w:pPr>
      <w:bookmarkStart w:id="99" w:name="_Toc471142683"/>
      <w:bookmarkStart w:id="100" w:name="_Toc471142524"/>
      <w:r>
        <w:rPr>
          <w:rFonts w:hint="eastAsia"/>
        </w:rPr>
        <w:t>从从籽粒仓中取籽粒样品3份，每份样品质量不少于</w:t>
      </w:r>
      <w:r>
        <w:t>1000g</w:t>
      </w:r>
      <w:r>
        <w:rPr>
          <w:rFonts w:hint="eastAsia"/>
        </w:rPr>
        <w:t>，用四分法将每份样品分成4份小样，每份样品取1份小样称出去除杂物（包括茎叶和茎杆等）籽粒质量和破损籽粒质量，按式（7）计算籽粒破损率，共测3次，取平均值。</w:t>
      </w:r>
      <w:bookmarkEnd w:id="99"/>
      <w:bookmarkEnd w:id="100"/>
    </w:p>
    <w:p>
      <w:pPr>
        <w:pStyle w:val="146"/>
      </w:pPr>
      <w:r>
        <w:tab/>
      </w:r>
      <w:r>
        <w:rPr>
          <w:position w:val="-30"/>
        </w:rPr>
        <w:object>
          <v:shape id="_x0000_i1055" o:spt="75" type="#_x0000_t75" style="height:33.8pt;width:86.95pt;" o:ole="t" filled="f" o:preferrelative="t" stroked="f" coordsize="21600,21600">
            <v:path/>
            <v:fill on="f" focussize="0,0"/>
            <v:stroke on="f" joinstyle="miter"/>
            <v:imagedata r:id="rId79" o:title=""/>
            <o:lock v:ext="edit" aspectratio="t"/>
            <w10:wrap type="none"/>
            <w10:anchorlock/>
          </v:shape>
          <o:OLEObject Type="Embed" ProgID="Equation.3" ShapeID="_x0000_i1055" DrawAspect="Content" ObjectID="_1468075755" r:id="rId78">
            <o:LockedField>false</o:LockedField>
          </o:OLEObject>
        </w:object>
      </w:r>
      <w:r>
        <w:tab/>
      </w:r>
      <w:r>
        <w:rPr>
          <w:rFonts w:hint="eastAsia"/>
        </w:rPr>
        <w:t>（7）</w:t>
      </w:r>
    </w:p>
    <w:p>
      <w:pPr>
        <w:pStyle w:val="67"/>
        <w:spacing w:beforeLines="0" w:afterLines="0"/>
        <w:ind w:firstLine="420" w:firstLineChars="200"/>
        <w:rPr>
          <w:rFonts w:ascii="宋体" w:hAnsi="宋体" w:eastAsia="宋体"/>
        </w:rPr>
      </w:pPr>
      <w:bookmarkStart w:id="101" w:name="_Toc471142685"/>
      <w:bookmarkStart w:id="102" w:name="_Toc471142526"/>
      <w:bookmarkStart w:id="103" w:name="_Toc489641094"/>
      <w:r>
        <w:rPr>
          <w:rFonts w:hint="eastAsia" w:ascii="宋体" w:hAnsi="宋体" w:eastAsia="宋体"/>
        </w:rPr>
        <w:t>式中：</w:t>
      </w:r>
      <w:bookmarkEnd w:id="101"/>
      <w:bookmarkEnd w:id="102"/>
      <w:bookmarkEnd w:id="103"/>
    </w:p>
    <w:p>
      <w:pPr>
        <w:pStyle w:val="67"/>
        <w:spacing w:beforeLines="0" w:afterLines="0" w:line="360" w:lineRule="exact"/>
        <w:ind w:firstLine="420" w:firstLineChars="200"/>
        <w:rPr>
          <w:rFonts w:ascii="宋体" w:hAnsi="宋体" w:eastAsia="宋体"/>
        </w:rPr>
      </w:pPr>
      <w:bookmarkStart w:id="104" w:name="_Toc471142527"/>
      <w:bookmarkStart w:id="105" w:name="_Toc471142686"/>
      <w:bookmarkStart w:id="106" w:name="_Toc489641095"/>
      <w:r>
        <w:rPr>
          <w:position w:val="-10"/>
        </w:rPr>
        <w:object>
          <v:shape id="_x0000_i1056" o:spt="75" type="#_x0000_t75" style="height:16.05pt;width:15.5pt;" o:ole="t" filled="f" o:preferrelative="t" stroked="f" coordsize="21600,21600">
            <v:path/>
            <v:fill on="f" focussize="0,0"/>
            <v:stroke on="f" joinstyle="miter"/>
            <v:imagedata r:id="rId81" o:title=""/>
            <o:lock v:ext="edit" aspectratio="t"/>
            <w10:wrap type="none"/>
            <w10:anchorlock/>
          </v:shape>
          <o:OLEObject Type="Embed" ProgID="Equation.3" ShapeID="_x0000_i1056" DrawAspect="Content" ObjectID="_1468075756" r:id="rId80">
            <o:LockedField>false</o:LockedField>
          </o:OLEObject>
        </w:object>
      </w:r>
      <w:r>
        <w:rPr>
          <w:rFonts w:hint="eastAsia"/>
          <w:position w:val="-10"/>
        </w:rPr>
        <w:t xml:space="preserve"> </w:t>
      </w:r>
      <w:r>
        <w:rPr>
          <w:rFonts w:hint="eastAsia"/>
        </w:rPr>
        <w:t>——</w:t>
      </w:r>
      <w:r>
        <w:rPr>
          <w:rFonts w:hint="eastAsia" w:ascii="宋体" w:hAnsi="宋体" w:eastAsia="宋体"/>
        </w:rPr>
        <w:t>籽粒破损率</w:t>
      </w:r>
      <w:bookmarkEnd w:id="104"/>
      <w:bookmarkEnd w:id="105"/>
      <w:r>
        <w:rPr>
          <w:rFonts w:hint="eastAsia" w:ascii="宋体" w:hAnsi="宋体" w:eastAsia="宋体"/>
        </w:rPr>
        <w:t>；</w:t>
      </w:r>
      <w:bookmarkEnd w:id="106"/>
    </w:p>
    <w:p>
      <w:pPr>
        <w:pStyle w:val="67"/>
        <w:spacing w:beforeLines="0" w:afterLines="0" w:line="360" w:lineRule="exact"/>
        <w:ind w:firstLine="420" w:firstLineChars="200"/>
        <w:rPr>
          <w:rFonts w:ascii="宋体" w:hAnsi="宋体" w:eastAsia="宋体"/>
        </w:rPr>
      </w:pPr>
      <w:bookmarkStart w:id="107" w:name="_Toc489641096"/>
      <w:bookmarkStart w:id="108" w:name="_Toc471142687"/>
      <w:bookmarkStart w:id="109" w:name="_Toc471142528"/>
      <w:r>
        <w:rPr>
          <w:position w:val="-10"/>
        </w:rPr>
        <w:object>
          <v:shape id="_x0000_i1057" o:spt="75" type="#_x0000_t75" style="height:16.05pt;width:15.5pt;" o:ole="t" filled="f" o:preferrelative="t" stroked="f" coordsize="21600,21600">
            <v:path/>
            <v:fill on="f" focussize="0,0"/>
            <v:stroke on="f" joinstyle="miter"/>
            <v:imagedata r:id="rId83" o:title=""/>
            <o:lock v:ext="edit" aspectratio="t"/>
            <w10:wrap type="none"/>
            <w10:anchorlock/>
          </v:shape>
          <o:OLEObject Type="Embed" ProgID="Equation.3" ShapeID="_x0000_i1057" DrawAspect="Content" ObjectID="_1468075757" r:id="rId82">
            <o:LockedField>false</o:LockedField>
          </o:OLEObject>
        </w:object>
      </w:r>
      <w:r>
        <w:rPr>
          <w:rFonts w:hint="eastAsia"/>
          <w:position w:val="-10"/>
        </w:rPr>
        <w:t xml:space="preserve"> </w:t>
      </w:r>
      <w:r>
        <w:rPr>
          <w:rFonts w:hint="eastAsia"/>
        </w:rPr>
        <w:t>——</w:t>
      </w:r>
      <w:r>
        <w:rPr>
          <w:rFonts w:hint="eastAsia" w:ascii="宋体" w:hAnsi="宋体" w:eastAsia="宋体"/>
        </w:rPr>
        <w:t>籽粒破损质量，单位为克（</w:t>
      </w:r>
      <w:r>
        <w:rPr>
          <w:rFonts w:ascii="宋体" w:hAnsi="宋体" w:eastAsia="宋体"/>
        </w:rPr>
        <w:t>g</w:t>
      </w:r>
      <w:r>
        <w:rPr>
          <w:rFonts w:hint="eastAsia" w:ascii="宋体" w:hAnsi="宋体" w:eastAsia="宋体"/>
        </w:rPr>
        <w:t>）</w:t>
      </w:r>
      <w:bookmarkEnd w:id="107"/>
      <w:bookmarkEnd w:id="108"/>
      <w:bookmarkEnd w:id="109"/>
      <w:r>
        <w:rPr>
          <w:rFonts w:hint="eastAsia" w:ascii="宋体" w:hAnsi="宋体" w:eastAsia="宋体"/>
        </w:rPr>
        <w:t>。</w:t>
      </w:r>
    </w:p>
    <w:p>
      <w:pPr>
        <w:pStyle w:val="66"/>
        <w:spacing w:beforeLines="50" w:afterLines="50"/>
        <w:ind w:firstLine="0" w:firstLineChars="0"/>
        <w:contextualSpacing/>
        <w:rPr>
          <w:rFonts w:ascii="黑体" w:hAnsi="黑体" w:eastAsia="黑体"/>
          <w:szCs w:val="21"/>
        </w:rPr>
      </w:pPr>
      <w:r>
        <w:rPr>
          <w:rFonts w:hint="eastAsia" w:ascii="黑体" w:hAnsi="黑体" w:eastAsia="黑体"/>
          <w:szCs w:val="21"/>
        </w:rPr>
        <w:t>5.3.4  适用性用户意见</w:t>
      </w:r>
    </w:p>
    <w:p>
      <w:pPr>
        <w:pStyle w:val="101"/>
        <w:numPr>
          <w:ilvl w:val="0"/>
          <w:numId w:val="0"/>
        </w:numPr>
        <w:ind w:firstLine="420" w:firstLineChars="200"/>
        <w:contextualSpacing/>
        <w:rPr>
          <w:rFonts w:ascii="宋体" w:hAnsi="宋体" w:eastAsia="宋体"/>
        </w:rPr>
      </w:pPr>
      <w:bookmarkStart w:id="110" w:name="_Toc455493439"/>
      <w:bookmarkStart w:id="111" w:name="_Toc455493782"/>
      <w:r>
        <w:rPr>
          <w:rFonts w:hint="eastAsia" w:ascii="宋体" w:hAnsi="宋体" w:eastAsia="宋体"/>
        </w:rPr>
        <w:t>按照制造商提供的用户名单进行适用性用户意见调查。调查可采取实地、信函和电话</w:t>
      </w:r>
      <w:bookmarkEnd w:id="110"/>
      <w:bookmarkEnd w:id="111"/>
      <w:r>
        <w:rPr>
          <w:rFonts w:hint="eastAsia" w:ascii="宋体" w:hAnsi="宋体" w:eastAsia="宋体"/>
        </w:rPr>
        <w:t>等方式进行。调查内容见附录C。调查数量为5户。</w:t>
      </w:r>
    </w:p>
    <w:p>
      <w:pPr>
        <w:pStyle w:val="66"/>
        <w:spacing w:beforeLines="50" w:afterLines="50"/>
        <w:ind w:firstLine="0" w:firstLineChars="0"/>
        <w:contextualSpacing/>
        <w:rPr>
          <w:rFonts w:ascii="黑体" w:hAnsi="黑体" w:eastAsia="黑体"/>
          <w:szCs w:val="21"/>
        </w:rPr>
      </w:pPr>
      <w:r>
        <w:rPr>
          <w:rFonts w:hint="eastAsia" w:ascii="黑体" w:hAnsi="黑体" w:eastAsia="黑体"/>
          <w:szCs w:val="21"/>
        </w:rPr>
        <w:t>5.3.5  判定规则</w:t>
      </w:r>
    </w:p>
    <w:p>
      <w:pPr>
        <w:pStyle w:val="140"/>
        <w:numPr>
          <w:ilvl w:val="1"/>
          <w:numId w:val="16"/>
        </w:numPr>
        <w:spacing w:line="320" w:lineRule="exact"/>
        <w:ind w:firstLineChars="0"/>
        <w:contextualSpacing/>
        <w:rPr>
          <w:vanish/>
        </w:rPr>
      </w:pPr>
    </w:p>
    <w:p>
      <w:pPr>
        <w:pStyle w:val="140"/>
        <w:numPr>
          <w:ilvl w:val="1"/>
          <w:numId w:val="16"/>
        </w:numPr>
        <w:spacing w:line="320" w:lineRule="exact"/>
        <w:ind w:firstLineChars="0"/>
        <w:contextualSpacing/>
        <w:rPr>
          <w:vanish/>
        </w:rPr>
      </w:pPr>
    </w:p>
    <w:p>
      <w:pPr>
        <w:pStyle w:val="140"/>
        <w:numPr>
          <w:ilvl w:val="1"/>
          <w:numId w:val="16"/>
        </w:numPr>
        <w:spacing w:line="320" w:lineRule="exact"/>
        <w:ind w:firstLineChars="0"/>
        <w:contextualSpacing/>
        <w:rPr>
          <w:vanish/>
        </w:rPr>
      </w:pPr>
    </w:p>
    <w:p>
      <w:pPr>
        <w:pStyle w:val="140"/>
        <w:numPr>
          <w:ilvl w:val="1"/>
          <w:numId w:val="16"/>
        </w:numPr>
        <w:spacing w:line="320" w:lineRule="exact"/>
        <w:ind w:firstLineChars="0"/>
        <w:contextualSpacing/>
        <w:rPr>
          <w:vanish/>
        </w:rPr>
      </w:pPr>
    </w:p>
    <w:p>
      <w:pPr>
        <w:pStyle w:val="140"/>
        <w:numPr>
          <w:ilvl w:val="2"/>
          <w:numId w:val="16"/>
        </w:numPr>
        <w:spacing w:line="320" w:lineRule="exact"/>
        <w:ind w:firstLineChars="0"/>
        <w:contextualSpacing/>
        <w:rPr>
          <w:vanish/>
        </w:rPr>
      </w:pPr>
    </w:p>
    <w:p>
      <w:pPr>
        <w:pStyle w:val="140"/>
        <w:numPr>
          <w:ilvl w:val="2"/>
          <w:numId w:val="16"/>
        </w:numPr>
        <w:spacing w:line="320" w:lineRule="exact"/>
        <w:ind w:firstLineChars="0"/>
        <w:contextualSpacing/>
        <w:rPr>
          <w:vanish/>
        </w:rPr>
      </w:pPr>
    </w:p>
    <w:p>
      <w:pPr>
        <w:pStyle w:val="140"/>
        <w:numPr>
          <w:ilvl w:val="2"/>
          <w:numId w:val="16"/>
        </w:numPr>
        <w:spacing w:line="320" w:lineRule="exact"/>
        <w:ind w:firstLineChars="0"/>
        <w:contextualSpacing/>
        <w:rPr>
          <w:vanish/>
        </w:rPr>
      </w:pPr>
    </w:p>
    <w:p>
      <w:pPr>
        <w:pStyle w:val="70"/>
        <w:numPr>
          <w:ilvl w:val="3"/>
          <w:numId w:val="16"/>
        </w:numPr>
        <w:spacing w:line="320" w:lineRule="exact"/>
        <w:rPr>
          <w:vanish/>
        </w:rPr>
      </w:pPr>
    </w:p>
    <w:p>
      <w:pPr>
        <w:pStyle w:val="70"/>
        <w:numPr>
          <w:ilvl w:val="3"/>
          <w:numId w:val="16"/>
        </w:numPr>
        <w:spacing w:line="320" w:lineRule="exact"/>
        <w:rPr>
          <w:vanish/>
        </w:rPr>
      </w:pPr>
    </w:p>
    <w:p>
      <w:pPr>
        <w:pStyle w:val="70"/>
        <w:numPr>
          <w:ilvl w:val="3"/>
          <w:numId w:val="16"/>
        </w:numPr>
        <w:spacing w:line="320" w:lineRule="exact"/>
        <w:rPr>
          <w:vanish/>
        </w:rPr>
      </w:pPr>
    </w:p>
    <w:p>
      <w:pPr>
        <w:pStyle w:val="70"/>
        <w:numPr>
          <w:ilvl w:val="3"/>
          <w:numId w:val="16"/>
        </w:numPr>
        <w:spacing w:line="320" w:lineRule="exact"/>
        <w:rPr>
          <w:vanish/>
        </w:rPr>
      </w:pPr>
    </w:p>
    <w:p>
      <w:pPr>
        <w:pStyle w:val="66"/>
        <w:ind w:firstLine="431" w:firstLineChars="0"/>
        <w:contextualSpacing/>
        <w:rPr>
          <w:rFonts w:hAnsi="宋体"/>
        </w:rPr>
      </w:pPr>
      <w:r>
        <w:rPr>
          <w:rFonts w:hint="eastAsia"/>
        </w:rPr>
        <w:t>作业性能试验结果均满足表3要求，且适用性用户意见调查结果中适用性每项评价为“好”和“中”两项合计数不小于调查总数的80%时，适用性评价结论为在选定的区域内符合大纲要求；否则，适用性评价结论为不符合大纲要求</w:t>
      </w:r>
      <w:r>
        <w:rPr>
          <w:rFonts w:hint="eastAsia" w:hAnsi="宋体"/>
        </w:rPr>
        <w:t>。</w:t>
      </w:r>
    </w:p>
    <w:p>
      <w:pPr>
        <w:pStyle w:val="66"/>
        <w:spacing w:beforeLines="50" w:afterLines="50" w:line="160" w:lineRule="exact"/>
        <w:ind w:firstLine="431" w:firstLineChars="0"/>
        <w:contextualSpacing/>
        <w:rPr>
          <w:rFonts w:hAnsi="宋体"/>
        </w:rPr>
      </w:pPr>
    </w:p>
    <w:p>
      <w:pPr>
        <w:pStyle w:val="66"/>
        <w:spacing w:beforeLines="50" w:afterLines="50"/>
        <w:ind w:firstLine="0" w:firstLineChars="0"/>
        <w:contextualSpacing/>
        <w:rPr>
          <w:rFonts w:ascii="黑体" w:hAnsi="黑体" w:eastAsia="黑体"/>
          <w:szCs w:val="21"/>
        </w:rPr>
      </w:pPr>
      <w:r>
        <w:rPr>
          <w:rFonts w:hint="eastAsia" w:ascii="黑体" w:hAnsi="黑体" w:eastAsia="黑体"/>
          <w:szCs w:val="21"/>
        </w:rPr>
        <w:t>5.4  可靠性评价</w:t>
      </w:r>
    </w:p>
    <w:p>
      <w:pPr>
        <w:pStyle w:val="140"/>
        <w:numPr>
          <w:ilvl w:val="1"/>
          <w:numId w:val="16"/>
        </w:numPr>
        <w:spacing w:line="320" w:lineRule="exact"/>
        <w:ind w:firstLineChars="0"/>
        <w:contextualSpacing/>
        <w:rPr>
          <w:rFonts w:ascii="黑体" w:hAnsi="黑体" w:eastAsia="黑体"/>
          <w:vanish/>
        </w:rPr>
      </w:pPr>
      <w:bookmarkStart w:id="112" w:name="_Toc175367186"/>
      <w:bookmarkStart w:id="113" w:name="_Toc183452192"/>
      <w:bookmarkStart w:id="114" w:name="_Toc222300482"/>
      <w:bookmarkStart w:id="115" w:name="_Toc223343460"/>
      <w:bookmarkStart w:id="116" w:name="_Toc226517662"/>
    </w:p>
    <w:p>
      <w:pPr>
        <w:pStyle w:val="140"/>
        <w:numPr>
          <w:ilvl w:val="2"/>
          <w:numId w:val="16"/>
        </w:numPr>
        <w:spacing w:line="320" w:lineRule="exact"/>
        <w:ind w:firstLineChars="0"/>
        <w:contextualSpacing/>
        <w:rPr>
          <w:rFonts w:ascii="黑体" w:hAnsi="黑体" w:eastAsia="黑体"/>
          <w:vanish/>
        </w:rPr>
      </w:pPr>
    </w:p>
    <w:p>
      <w:pPr>
        <w:pStyle w:val="140"/>
        <w:numPr>
          <w:ilvl w:val="2"/>
          <w:numId w:val="16"/>
        </w:numPr>
        <w:spacing w:line="320" w:lineRule="exact"/>
        <w:ind w:firstLineChars="0"/>
        <w:contextualSpacing/>
        <w:rPr>
          <w:rFonts w:ascii="黑体" w:hAnsi="黑体" w:eastAsia="黑体"/>
          <w:vanish/>
        </w:rPr>
      </w:pPr>
    </w:p>
    <w:p>
      <w:pPr>
        <w:pStyle w:val="140"/>
        <w:numPr>
          <w:ilvl w:val="2"/>
          <w:numId w:val="16"/>
        </w:numPr>
        <w:spacing w:line="320" w:lineRule="exact"/>
        <w:ind w:firstLineChars="0"/>
        <w:contextualSpacing/>
        <w:rPr>
          <w:rFonts w:ascii="黑体" w:hAnsi="黑体" w:eastAsia="黑体"/>
          <w:vanish/>
        </w:rPr>
      </w:pPr>
    </w:p>
    <w:p>
      <w:pPr>
        <w:pStyle w:val="140"/>
        <w:numPr>
          <w:ilvl w:val="2"/>
          <w:numId w:val="16"/>
        </w:numPr>
        <w:spacing w:line="320" w:lineRule="exact"/>
        <w:ind w:firstLineChars="0"/>
        <w:contextualSpacing/>
        <w:rPr>
          <w:rFonts w:ascii="黑体" w:hAnsi="黑体" w:eastAsia="黑体"/>
          <w:vanish/>
        </w:rPr>
      </w:pPr>
    </w:p>
    <w:bookmarkEnd w:id="112"/>
    <w:bookmarkEnd w:id="113"/>
    <w:bookmarkEnd w:id="114"/>
    <w:bookmarkEnd w:id="115"/>
    <w:bookmarkEnd w:id="116"/>
    <w:p>
      <w:pPr>
        <w:pStyle w:val="66"/>
        <w:spacing w:beforeLines="50" w:afterLines="50"/>
        <w:ind w:firstLine="0" w:firstLineChars="0"/>
        <w:contextualSpacing/>
        <w:rPr>
          <w:rFonts w:ascii="黑体" w:hAnsi="黑体" w:eastAsia="黑体"/>
          <w:szCs w:val="21"/>
        </w:rPr>
      </w:pPr>
      <w:r>
        <w:rPr>
          <w:rFonts w:hint="eastAsia" w:ascii="黑体" w:hAnsi="黑体" w:eastAsia="黑体"/>
          <w:szCs w:val="21"/>
        </w:rPr>
        <w:t>5.4.1  评价方法</w:t>
      </w:r>
    </w:p>
    <w:p>
      <w:pPr>
        <w:pStyle w:val="140"/>
        <w:contextualSpacing/>
        <w:jc w:val="left"/>
        <w:rPr>
          <w:rFonts w:ascii="宋体" w:hAnsi="宋体"/>
          <w:bCs/>
        </w:rPr>
      </w:pPr>
      <w:r>
        <w:rPr>
          <w:rFonts w:hint="eastAsia" w:ascii="宋体" w:hAnsi="宋体"/>
          <w:szCs w:val="21"/>
        </w:rPr>
        <w:t>可靠性评价采用</w:t>
      </w:r>
      <w:r>
        <w:rPr>
          <w:rFonts w:hint="eastAsia" w:ascii="宋体" w:hAnsi="宋体"/>
          <w:bCs/>
        </w:rPr>
        <w:t>生产查定和用户调查相结合的方式进行。</w:t>
      </w:r>
    </w:p>
    <w:p>
      <w:pPr>
        <w:pStyle w:val="66"/>
        <w:spacing w:beforeLines="50" w:afterLines="50"/>
        <w:ind w:firstLine="0" w:firstLineChars="0"/>
        <w:contextualSpacing/>
        <w:rPr>
          <w:rFonts w:ascii="黑体" w:hAnsi="黑体" w:eastAsia="黑体"/>
          <w:szCs w:val="21"/>
        </w:rPr>
      </w:pPr>
      <w:r>
        <w:rPr>
          <w:rFonts w:hint="eastAsia" w:ascii="黑体" w:hAnsi="黑体" w:eastAsia="黑体"/>
          <w:szCs w:val="21"/>
        </w:rPr>
        <w:t>5.4.2  评价内容</w:t>
      </w:r>
    </w:p>
    <w:p>
      <w:pPr>
        <w:pStyle w:val="70"/>
        <w:numPr>
          <w:ilvl w:val="0"/>
          <w:numId w:val="0"/>
        </w:numPr>
        <w:ind w:firstLine="420" w:firstLineChars="200"/>
        <w:contextualSpacing/>
      </w:pPr>
      <w:r>
        <w:rPr>
          <w:rFonts w:hint="eastAsia"/>
        </w:rPr>
        <w:t>可靠性评价的内容包括生产查定的有效度和用户满意度。</w:t>
      </w:r>
    </w:p>
    <w:p>
      <w:pPr>
        <w:pStyle w:val="70"/>
        <w:numPr>
          <w:ilvl w:val="0"/>
          <w:numId w:val="0"/>
        </w:numPr>
        <w:spacing w:line="160" w:lineRule="exact"/>
        <w:ind w:firstLine="420" w:firstLineChars="200"/>
        <w:contextualSpacing/>
      </w:pPr>
    </w:p>
    <w:p>
      <w:pPr>
        <w:pStyle w:val="66"/>
        <w:ind w:firstLine="0" w:firstLineChars="0"/>
        <w:contextualSpacing/>
        <w:rPr>
          <w:rFonts w:ascii="黑体" w:hAnsi="黑体" w:eastAsia="黑体"/>
          <w:szCs w:val="21"/>
        </w:rPr>
      </w:pPr>
      <w:r>
        <w:rPr>
          <w:rFonts w:hint="eastAsia" w:ascii="黑体" w:hAnsi="黑体" w:eastAsia="黑体"/>
          <w:szCs w:val="21"/>
        </w:rPr>
        <w:t>5.4.2.1  有效度</w:t>
      </w:r>
    </w:p>
    <w:p>
      <w:pPr>
        <w:pStyle w:val="66"/>
        <w:spacing w:beforeLines="50" w:afterLines="50" w:line="160" w:lineRule="exact"/>
        <w:ind w:firstLine="0" w:firstLineChars="0"/>
        <w:contextualSpacing/>
        <w:rPr>
          <w:rFonts w:ascii="黑体" w:hAnsi="黑体" w:eastAsia="黑体"/>
          <w:szCs w:val="21"/>
        </w:rPr>
      </w:pPr>
    </w:p>
    <w:p>
      <w:pPr>
        <w:pStyle w:val="66"/>
        <w:ind w:firstLine="420"/>
      </w:pPr>
      <w:r>
        <w:rPr>
          <w:rFonts w:hint="eastAsia"/>
        </w:rPr>
        <w:t>对鉴定样机进行累计作业时间为</w:t>
      </w:r>
      <w:r>
        <w:t>18 h</w:t>
      </w:r>
      <w:r>
        <w:rPr>
          <w:rFonts w:hint="eastAsia"/>
        </w:rPr>
        <w:t>（偏差为</w:t>
      </w:r>
      <w:r>
        <w:t>+1 min</w:t>
      </w:r>
      <w:r>
        <w:rPr>
          <w:rFonts w:hint="eastAsia"/>
        </w:rPr>
        <w:t>）的生产查定。记录作业时间、调整保养时间、样机故障情况及修复时间。有效度按式（10）计算（累计故障修复时间大于</w:t>
      </w:r>
      <w:r>
        <w:t>1h</w:t>
      </w:r>
      <w:r>
        <w:rPr>
          <w:rFonts w:hint="eastAsia"/>
        </w:rPr>
        <w:t>时，按</w:t>
      </w:r>
      <w:r>
        <w:t>1h</w:t>
      </w:r>
      <w:r>
        <w:rPr>
          <w:rFonts w:hint="eastAsia"/>
        </w:rPr>
        <w:t>计算）。</w:t>
      </w:r>
    </w:p>
    <w:p>
      <w:pPr>
        <w:pStyle w:val="66"/>
        <w:ind w:firstLine="420"/>
      </w:pPr>
      <w:r>
        <w:rPr>
          <w:rFonts w:hint="eastAsia"/>
        </w:rPr>
        <w:t>生产查定过程中，如果累计故障修复时间大于</w:t>
      </w:r>
      <w:r>
        <w:t>1h</w:t>
      </w:r>
      <w:r>
        <w:rPr>
          <w:rFonts w:hint="eastAsia"/>
        </w:rPr>
        <w:t>或者发生导致机具功能完全丧失、危及作业安全、造成人身伤亡或重大经济损失的致命故障以及主要零部件或总成（如：如发动机、割台、传动机构、脱粒清选机构、输送机构、轴承座以及机架等）损坏、报废、导致功能严重下降、难以正常作业的严重故障时，则生产查定不再继续进行。</w:t>
      </w:r>
    </w:p>
    <w:p>
      <w:pPr>
        <w:pStyle w:val="66"/>
        <w:ind w:firstLine="420"/>
      </w:pPr>
    </w:p>
    <w:p>
      <w:pPr>
        <w:pStyle w:val="66"/>
        <w:ind w:right="420" w:firstLine="0" w:firstLineChars="0"/>
        <w:jc w:val="center"/>
      </w:pPr>
      <w:r>
        <w:rPr>
          <w:rFonts w:hint="eastAsia"/>
          <w:position w:val="-32"/>
        </w:rPr>
        <w:t xml:space="preserve">                                </w:t>
      </w:r>
      <w:r>
        <w:rPr>
          <w:position w:val="-32"/>
        </w:rPr>
        <w:object>
          <v:shape id="_x0000_i1058" o:spt="75" type="#_x0000_t75" style="height:38.2pt;width:126.3pt;" o:ole="t" filled="f" o:preferrelative="t" stroked="f" coordsize="21600,21600">
            <v:path/>
            <v:fill on="f" focussize="0,0"/>
            <v:stroke on="f" joinstyle="miter"/>
            <v:imagedata r:id="rId85" o:title=""/>
            <o:lock v:ext="edit" aspectratio="t"/>
            <w10:wrap type="none"/>
            <w10:anchorlock/>
          </v:shape>
          <o:OLEObject Type="Embed" ProgID="Equation.3" ShapeID="_x0000_i1058" DrawAspect="Content" ObjectID="_1468075758" r:id="rId84">
            <o:LockedField>false</o:LockedField>
          </o:OLEObject>
        </w:object>
      </w:r>
      <w:r>
        <w:rPr>
          <w:rFonts w:hint="eastAsia"/>
        </w:rPr>
        <w:t>………………………………（8）</w:t>
      </w:r>
    </w:p>
    <w:p>
      <w:pPr>
        <w:pStyle w:val="66"/>
        <w:spacing w:line="360" w:lineRule="exact"/>
        <w:ind w:firstLine="420"/>
        <w:jc w:val="left"/>
      </w:pPr>
      <w:r>
        <w:rPr>
          <w:rFonts w:hint="eastAsia"/>
        </w:rPr>
        <w:t>式中：</w:t>
      </w:r>
    </w:p>
    <w:p>
      <w:pPr>
        <w:pStyle w:val="66"/>
        <w:spacing w:line="440" w:lineRule="exact"/>
        <w:ind w:firstLine="420"/>
        <w:jc w:val="left"/>
      </w:pPr>
      <w:r>
        <w:rPr>
          <w:rFonts w:hAnsi="宋体"/>
          <w:position w:val="-4"/>
          <w:szCs w:val="21"/>
        </w:rPr>
        <w:object>
          <v:shape id="_x0000_i1059" o:spt="75" type="#_x0000_t75" style="height:13.85pt;width:12.75pt;" o:ole="t" filled="f" o:preferrelative="t" stroked="f" coordsize="21600,21600">
            <v:path/>
            <v:fill on="f" focussize="0,0"/>
            <v:stroke on="f" joinstyle="miter"/>
            <v:imagedata r:id="rId87" o:title=""/>
            <o:lock v:ext="edit" aspectratio="t"/>
            <w10:wrap type="none"/>
            <w10:anchorlock/>
          </v:shape>
          <o:OLEObject Type="Embed" ProgID="Equation.3" ShapeID="_x0000_i1059" DrawAspect="Content" ObjectID="_1468075759" r:id="rId86">
            <o:LockedField>false</o:LockedField>
          </o:OLEObject>
        </w:object>
      </w:r>
      <w:r>
        <w:rPr>
          <w:rFonts w:hint="eastAsia"/>
          <w:bCs/>
        </w:rPr>
        <w:t>——</w:t>
      </w:r>
      <w:r>
        <w:rPr>
          <w:rFonts w:hint="eastAsia"/>
        </w:rPr>
        <w:t>有效度；</w:t>
      </w:r>
    </w:p>
    <w:p>
      <w:pPr>
        <w:pStyle w:val="66"/>
        <w:spacing w:line="440" w:lineRule="exact"/>
        <w:ind w:firstLine="420"/>
        <w:jc w:val="left"/>
      </w:pPr>
      <w:r>
        <w:rPr>
          <w:position w:val="-10"/>
        </w:rPr>
        <w:object>
          <v:shape id="_x0000_i1060" o:spt="75" type="#_x0000_t75" style="height:18.3pt;width:12.75pt;" o:ole="t" filled="f" o:preferrelative="t" stroked="f" coordsize="21600,21600">
            <v:path/>
            <v:fill on="f" focussize="0,0"/>
            <v:stroke on="f" joinstyle="miter"/>
            <v:imagedata r:id="rId89" o:title=""/>
            <o:lock v:ext="edit" aspectratio="t"/>
            <w10:wrap type="none"/>
            <w10:anchorlock/>
          </v:shape>
          <o:OLEObject Type="Embed" ProgID="Equation.3" ShapeID="_x0000_i1060" DrawAspect="Content" ObjectID="_1468075760" r:id="rId88">
            <o:LockedField>false</o:LockedField>
          </o:OLEObject>
        </w:object>
      </w:r>
      <w:r>
        <w:rPr>
          <w:rFonts w:hint="eastAsia"/>
          <w:bCs/>
        </w:rPr>
        <w:t>——</w:t>
      </w:r>
      <w:r>
        <w:rPr>
          <w:rFonts w:hint="eastAsia"/>
        </w:rPr>
        <w:t>作业时间，单位为小时（h）；</w:t>
      </w:r>
    </w:p>
    <w:p>
      <w:pPr>
        <w:pStyle w:val="66"/>
        <w:spacing w:line="440" w:lineRule="exact"/>
        <w:ind w:firstLine="420"/>
        <w:jc w:val="left"/>
      </w:pPr>
      <w:r>
        <w:rPr>
          <w:position w:val="-12"/>
        </w:rPr>
        <w:object>
          <v:shape id="_x0000_i1061" o:spt="75" type="#_x0000_t75" style="height:17.7pt;width:13.3pt;" o:ole="t" filled="f" o:preferrelative="t" stroked="f" coordsize="21600,21600">
            <v:path/>
            <v:fill on="f" focussize="0,0"/>
            <v:stroke on="f" joinstyle="miter"/>
            <v:imagedata r:id="rId91" o:title=""/>
            <o:lock v:ext="edit" aspectratio="t"/>
            <w10:wrap type="none"/>
            <w10:anchorlock/>
          </v:shape>
          <o:OLEObject Type="Embed" ProgID="Equation.3" ShapeID="_x0000_i1061" DrawAspect="Content" ObjectID="_1468075761" r:id="rId90">
            <o:LockedField>false</o:LockedField>
          </o:OLEObject>
        </w:object>
      </w:r>
      <w:r>
        <w:rPr>
          <w:rFonts w:hint="eastAsia"/>
          <w:bCs/>
        </w:rPr>
        <w:t>——</w:t>
      </w:r>
      <w:r>
        <w:rPr>
          <w:rFonts w:hint="eastAsia"/>
        </w:rPr>
        <w:t>故障排除时间，单位为小时（h）。</w:t>
      </w:r>
    </w:p>
    <w:p>
      <w:pPr>
        <w:pStyle w:val="66"/>
        <w:ind w:firstLine="360"/>
        <w:rPr>
          <w:sz w:val="18"/>
          <w:szCs w:val="18"/>
        </w:rPr>
      </w:pPr>
      <w:r>
        <w:rPr>
          <w:rFonts w:hint="eastAsia" w:ascii="黑体" w:hAnsi="宋体" w:eastAsia="黑体" w:cs="黑体"/>
          <w:sz w:val="18"/>
          <w:szCs w:val="18"/>
        </w:rPr>
        <w:t>注：</w:t>
      </w:r>
      <w:r>
        <w:rPr>
          <w:rFonts w:hint="eastAsia" w:hAnsi="宋体"/>
          <w:sz w:val="18"/>
          <w:szCs w:val="18"/>
        </w:rPr>
        <w:t>有资质的检验机构按照</w:t>
      </w:r>
      <w:r>
        <w:rPr>
          <w:rFonts w:hAnsi="宋体"/>
          <w:sz w:val="18"/>
          <w:szCs w:val="18"/>
        </w:rPr>
        <w:t>GB/T 5667</w:t>
      </w:r>
      <w:r>
        <w:rPr>
          <w:rFonts w:hint="eastAsia" w:hAnsi="宋体"/>
          <w:sz w:val="18"/>
          <w:szCs w:val="18"/>
        </w:rPr>
        <w:t>出具的考核时间不少于</w:t>
      </w:r>
      <w:r>
        <w:rPr>
          <w:rFonts w:hAnsi="宋体"/>
          <w:sz w:val="18"/>
          <w:szCs w:val="18"/>
        </w:rPr>
        <w:t>18h</w:t>
      </w:r>
      <w:r>
        <w:rPr>
          <w:rFonts w:hint="eastAsia" w:hAnsi="宋体"/>
          <w:sz w:val="18"/>
          <w:szCs w:val="18"/>
        </w:rPr>
        <w:t>的可靠性试验报告（两年以内），可以作为推广鉴定的评价依据。</w:t>
      </w:r>
    </w:p>
    <w:p>
      <w:pPr>
        <w:pStyle w:val="66"/>
        <w:spacing w:line="160" w:lineRule="exact"/>
        <w:ind w:firstLine="420"/>
        <w:jc w:val="left"/>
      </w:pPr>
    </w:p>
    <w:p>
      <w:pPr>
        <w:pStyle w:val="66"/>
        <w:spacing w:beforeLines="50" w:afterLines="50"/>
        <w:ind w:right="420" w:firstLine="0" w:firstLineChars="0"/>
        <w:contextualSpacing/>
        <w:rPr>
          <w:rFonts w:ascii="黑体" w:hAnsi="黑体" w:eastAsia="黑体"/>
        </w:rPr>
      </w:pPr>
      <w:r>
        <w:rPr>
          <w:rFonts w:hint="eastAsia" w:ascii="黑体" w:hAnsi="黑体" w:eastAsia="黑体"/>
        </w:rPr>
        <w:t>5.4.2.2  用户满意度</w:t>
      </w:r>
    </w:p>
    <w:p>
      <w:pPr>
        <w:pStyle w:val="101"/>
        <w:numPr>
          <w:ilvl w:val="0"/>
          <w:numId w:val="0"/>
        </w:numPr>
        <w:ind w:firstLine="420" w:firstLineChars="200"/>
      </w:pPr>
      <w:r>
        <w:rPr>
          <w:rFonts w:hint="eastAsia" w:ascii="宋体" w:hAnsi="宋体" w:eastAsia="宋体"/>
          <w:bCs/>
        </w:rPr>
        <w:t>可靠性用户调查和适用性用户调查同时进行，调查截止满一个作业季节时的故障情况，调查数量为5户，按式（11）计算用户满意度</w:t>
      </w:r>
      <w:r>
        <w:rPr>
          <w:position w:val="-6"/>
        </w:rPr>
        <w:object>
          <v:shape id="_x0000_i1062" o:spt="75" type="#_x0000_t75" style="height:14.4pt;width:11.65pt;" o:ole="t" filled="f" o:preferrelative="t" stroked="f" coordsize="21600,21600">
            <v:path/>
            <v:fill on="f" focussize="0,0"/>
            <v:stroke on="f" joinstyle="miter"/>
            <v:imagedata r:id="rId93" o:title=""/>
            <o:lock v:ext="edit" aspectratio="t"/>
            <w10:wrap type="none"/>
            <w10:anchorlock/>
          </v:shape>
          <o:OLEObject Type="Embed" ProgID="Equation.3" ShapeID="_x0000_i1062" DrawAspect="Content" ObjectID="_1468075762" r:id="rId92">
            <o:LockedField>false</o:LockedField>
          </o:OLEObject>
        </w:object>
      </w:r>
      <w:r>
        <w:rPr>
          <w:rFonts w:hint="eastAsia" w:ascii="宋体" w:hAnsi="宋体" w:eastAsia="宋体"/>
          <w:bCs/>
        </w:rPr>
        <w:t>。</w:t>
      </w:r>
    </w:p>
    <w:p>
      <w:pPr>
        <w:pStyle w:val="66"/>
        <w:ind w:right="105" w:firstLine="0" w:firstLineChars="0"/>
        <w:jc w:val="right"/>
      </w:pPr>
      <w:r>
        <w:rPr>
          <w:position w:val="-28"/>
        </w:rPr>
        <w:object>
          <v:shape id="_x0000_i1063" o:spt="75" type="#_x0000_t75" style="height:33.8pt;width:79.2pt;" o:ole="t" filled="f" o:preferrelative="t" stroked="f" coordsize="21600,21600">
            <v:path/>
            <v:fill on="f" focussize="0,0"/>
            <v:stroke on="f" joinstyle="miter"/>
            <v:imagedata r:id="rId95" o:title=""/>
            <o:lock v:ext="edit" aspectratio="t"/>
            <w10:wrap type="none"/>
            <w10:anchorlock/>
          </v:shape>
          <o:OLEObject Type="Embed" ProgID="Equation.3" ShapeID="_x0000_i1063" DrawAspect="Content" ObjectID="_1468075763" r:id="rId94">
            <o:LockedField>false</o:LockedField>
          </o:OLEObject>
        </w:object>
      </w:r>
      <w:r>
        <w:rPr>
          <w:rFonts w:hint="eastAsia"/>
        </w:rPr>
        <w:t>……………………………………（9）</w:t>
      </w:r>
    </w:p>
    <w:p>
      <w:pPr>
        <w:pStyle w:val="66"/>
        <w:ind w:firstLine="420"/>
        <w:jc w:val="left"/>
      </w:pPr>
      <w:r>
        <w:rPr>
          <w:rFonts w:hint="eastAsia"/>
        </w:rPr>
        <w:t>式中：</w:t>
      </w:r>
    </w:p>
    <w:p>
      <w:pPr>
        <w:pStyle w:val="66"/>
        <w:snapToGrid w:val="0"/>
        <w:spacing w:line="360" w:lineRule="exact"/>
        <w:ind w:firstLine="420"/>
        <w:jc w:val="left"/>
      </w:pPr>
      <w:r>
        <w:rPr>
          <w:position w:val="-6"/>
        </w:rPr>
        <w:object>
          <v:shape id="_x0000_i1064" o:spt="75" type="#_x0000_t75" style="height:14.4pt;width:11.65pt;" o:ole="t" filled="f" o:preferrelative="t" stroked="f" coordsize="21600,21600">
            <v:path/>
            <v:fill on="f" focussize="0,0"/>
            <v:stroke on="f" joinstyle="miter"/>
            <v:imagedata r:id="rId97" o:title=""/>
            <o:lock v:ext="edit" aspectratio="t"/>
            <w10:wrap type="none"/>
            <w10:anchorlock/>
          </v:shape>
          <o:OLEObject Type="Embed" ProgID="Equation.3" ShapeID="_x0000_i1064" DrawAspect="Content" ObjectID="_1468075764" r:id="rId96">
            <o:LockedField>false</o:LockedField>
          </o:OLEObject>
        </w:object>
      </w:r>
      <w:r>
        <w:rPr>
          <w:rFonts w:hint="eastAsia"/>
          <w:position w:val="-4"/>
        </w:rPr>
        <w:t xml:space="preserve"> </w:t>
      </w:r>
      <w:r>
        <w:rPr>
          <w:rFonts w:hint="eastAsia"/>
          <w:bCs/>
        </w:rPr>
        <w:t>——</w:t>
      </w:r>
      <w:r>
        <w:rPr>
          <w:rFonts w:hint="eastAsia"/>
        </w:rPr>
        <w:t>用户满意度(百分制)；</w:t>
      </w:r>
    </w:p>
    <w:p>
      <w:pPr>
        <w:pStyle w:val="66"/>
        <w:snapToGrid w:val="0"/>
        <w:spacing w:line="360" w:lineRule="exact"/>
        <w:ind w:firstLine="420"/>
        <w:jc w:val="left"/>
      </w:pPr>
      <w:r>
        <w:rPr>
          <w:position w:val="-6"/>
        </w:rPr>
        <w:object>
          <v:shape id="_x0000_i1065" o:spt="75" type="#_x0000_t75" style="height:11.65pt;width:13.85pt;" o:ole="t" filled="f" o:preferrelative="t" stroked="f" coordsize="21600,21600">
            <v:path/>
            <v:fill on="f" focussize="0,0"/>
            <v:stroke on="f" joinstyle="miter"/>
            <v:imagedata r:id="rId99" o:title=""/>
            <o:lock v:ext="edit" aspectratio="t"/>
            <w10:wrap type="none"/>
            <w10:anchorlock/>
          </v:shape>
          <o:OLEObject Type="Embed" ProgID="Equation.3" ShapeID="_x0000_i1065" DrawAspect="Content" ObjectID="_1468075765" r:id="rId98">
            <o:LockedField>false</o:LockedField>
          </o:OLEObject>
        </w:object>
      </w:r>
      <w:r>
        <w:rPr>
          <w:rFonts w:hint="eastAsia"/>
          <w:position w:val="-4"/>
        </w:rPr>
        <w:t xml:space="preserve"> </w:t>
      </w:r>
      <w:r>
        <w:rPr>
          <w:rFonts w:hint="eastAsia"/>
          <w:bCs/>
        </w:rPr>
        <w:t>——</w:t>
      </w:r>
      <w:r>
        <w:rPr>
          <w:rFonts w:hint="eastAsia"/>
        </w:rPr>
        <w:t>调查的用户数；</w:t>
      </w:r>
    </w:p>
    <w:p>
      <w:pPr>
        <w:pStyle w:val="66"/>
        <w:snapToGrid w:val="0"/>
        <w:spacing w:line="360" w:lineRule="exact"/>
        <w:ind w:firstLine="420"/>
      </w:pPr>
      <w:r>
        <w:rPr>
          <w:position w:val="-12"/>
        </w:rPr>
        <w:object>
          <v:shape id="_x0000_i1066" o:spt="75" type="#_x0000_t75" style="height:18.3pt;width:11.65pt;" o:ole="t" filled="f" o:preferrelative="t" stroked="f" coordsize="21600,21600">
            <v:path/>
            <v:fill on="f" focussize="0,0"/>
            <v:stroke on="f" joinstyle="miter"/>
            <v:imagedata r:id="rId101" o:title=""/>
            <o:lock v:ext="edit" aspectratio="t"/>
            <w10:wrap type="none"/>
            <w10:anchorlock/>
          </v:shape>
          <o:OLEObject Type="Embed" ProgID="Equation.3" ShapeID="_x0000_i1066" DrawAspect="Content" ObjectID="_1468075766" r:id="rId100">
            <o:LockedField>false</o:LockedField>
          </o:OLEObject>
        </w:object>
      </w:r>
      <w:r>
        <w:rPr>
          <w:rFonts w:hint="eastAsia"/>
          <w:position w:val="-10"/>
        </w:rPr>
        <w:t xml:space="preserve"> </w:t>
      </w:r>
      <w:r>
        <w:rPr>
          <w:rFonts w:hint="eastAsia"/>
          <w:bCs/>
        </w:rPr>
        <w:t>——</w:t>
      </w:r>
      <w:r>
        <w:rPr>
          <w:rFonts w:hint="eastAsia"/>
        </w:rPr>
        <w:t>第i个用户赋予的满意度分值。</w:t>
      </w:r>
    </w:p>
    <w:p>
      <w:pPr>
        <w:pStyle w:val="66"/>
        <w:snapToGrid w:val="0"/>
        <w:spacing w:line="160" w:lineRule="exact"/>
        <w:ind w:firstLine="420"/>
      </w:pPr>
    </w:p>
    <w:p>
      <w:pPr>
        <w:pStyle w:val="66"/>
        <w:spacing w:beforeLines="50" w:afterLines="50"/>
        <w:ind w:right="420" w:firstLine="0" w:firstLineChars="0"/>
        <w:contextualSpacing/>
        <w:rPr>
          <w:rFonts w:ascii="黑体" w:hAnsi="黑体" w:eastAsia="黑体"/>
        </w:rPr>
      </w:pPr>
      <w:r>
        <w:rPr>
          <w:rFonts w:hint="eastAsia" w:ascii="黑体" w:hAnsi="黑体" w:eastAsia="黑体"/>
        </w:rPr>
        <w:t>5.4.3  判定规则</w:t>
      </w:r>
    </w:p>
    <w:p>
      <w:pPr>
        <w:pStyle w:val="101"/>
        <w:numPr>
          <w:ilvl w:val="0"/>
          <w:numId w:val="0"/>
        </w:numPr>
        <w:ind w:firstLine="420" w:firstLineChars="200"/>
        <w:rPr>
          <w:rFonts w:ascii="宋体" w:hAnsi="宋体" w:eastAsia="宋体"/>
        </w:rPr>
      </w:pPr>
      <w:r>
        <w:rPr>
          <w:rFonts w:hint="eastAsia" w:ascii="宋体" w:hAnsi="宋体" w:eastAsia="宋体" w:cs="宋体"/>
        </w:rPr>
        <w:t>有效度</w:t>
      </w:r>
      <w:r>
        <w:rPr>
          <w:rFonts w:ascii="宋体" w:hAnsi="宋体" w:eastAsia="宋体" w:cs="宋体"/>
          <w:i/>
          <w:iCs/>
        </w:rPr>
        <w:t>K</w:t>
      </w:r>
      <w:r>
        <w:rPr>
          <w:rFonts w:hint="eastAsia" w:ascii="宋体" w:hAnsi="宋体" w:eastAsia="宋体" w:cs="宋体"/>
        </w:rPr>
        <w:t>不小于</w:t>
      </w:r>
      <w:r>
        <w:rPr>
          <w:rFonts w:ascii="宋体" w:hAnsi="宋体" w:eastAsia="宋体" w:cs="宋体"/>
        </w:rPr>
        <w:t>98%</w:t>
      </w:r>
      <w:r>
        <w:rPr>
          <w:rFonts w:hint="eastAsia" w:ascii="宋体" w:hAnsi="宋体" w:eastAsia="宋体" w:cs="宋体"/>
        </w:rPr>
        <w:t>，用户满意度</w:t>
      </w:r>
      <w:r>
        <w:rPr>
          <w:rFonts w:ascii="宋体" w:hAnsi="宋体" w:eastAsia="宋体" w:cs="宋体"/>
        </w:rPr>
        <w:t>S</w:t>
      </w:r>
      <w:r>
        <w:rPr>
          <w:rFonts w:hint="eastAsia" w:ascii="宋体" w:hAnsi="宋体" w:eastAsia="宋体" w:cs="宋体"/>
        </w:rPr>
        <w:t>不小于</w:t>
      </w:r>
      <w:r>
        <w:rPr>
          <w:rFonts w:ascii="宋体" w:hAnsi="宋体" w:eastAsia="宋体" w:cs="宋体"/>
        </w:rPr>
        <w:t>80</w:t>
      </w:r>
      <w:r>
        <w:rPr>
          <w:rFonts w:hint="eastAsia" w:ascii="宋体" w:hAnsi="宋体" w:eastAsia="宋体" w:cs="宋体"/>
        </w:rPr>
        <w:t>分，且生产查定和用户调查中未发生本大纲</w:t>
      </w:r>
      <w:r>
        <w:rPr>
          <w:rFonts w:ascii="宋体" w:hAnsi="宋体" w:eastAsia="宋体" w:cs="宋体"/>
        </w:rPr>
        <w:t>5.4.2.1</w:t>
      </w:r>
      <w:r>
        <w:rPr>
          <w:rFonts w:hint="eastAsia" w:ascii="宋体" w:hAnsi="宋体" w:eastAsia="宋体" w:cs="宋体"/>
        </w:rPr>
        <w:t>所述的严重故障、致命故障时，可靠性评价结论为符合大纲要求；否则，可靠性评价结论为不符合大纲要求。</w:t>
      </w:r>
    </w:p>
    <w:p>
      <w:pPr>
        <w:pStyle w:val="66"/>
        <w:numPr>
          <w:ilvl w:val="1"/>
          <w:numId w:val="17"/>
        </w:numPr>
        <w:spacing w:beforeLines="50" w:afterLines="50"/>
        <w:ind w:right="420" w:firstLineChars="0"/>
        <w:contextualSpacing/>
        <w:rPr>
          <w:rFonts w:ascii="黑体" w:hAnsi="黑体" w:eastAsia="黑体"/>
        </w:rPr>
      </w:pPr>
      <w:r>
        <w:rPr>
          <w:rFonts w:hint="eastAsia" w:ascii="黑体" w:hAnsi="黑体" w:eastAsia="黑体"/>
        </w:rPr>
        <w:t xml:space="preserve"> 综合判定规则</w:t>
      </w:r>
    </w:p>
    <w:p>
      <w:pPr>
        <w:pStyle w:val="69"/>
        <w:numPr>
          <w:ilvl w:val="0"/>
          <w:numId w:val="0"/>
        </w:numPr>
        <w:spacing w:line="320" w:lineRule="exact"/>
        <w:jc w:val="left"/>
        <w:rPr>
          <w:rFonts w:ascii="宋体" w:eastAsia="宋体"/>
        </w:rPr>
      </w:pPr>
      <w:r>
        <w:rPr>
          <w:rFonts w:hint="eastAsia" w:hAnsi="黑体"/>
        </w:rPr>
        <w:t xml:space="preserve">5.5.1  </w:t>
      </w:r>
      <w:bookmarkStart w:id="117" w:name="_Toc173331690"/>
      <w:r>
        <w:rPr>
          <w:rFonts w:hint="eastAsia" w:ascii="宋体" w:eastAsia="宋体"/>
        </w:rPr>
        <w:t>产品一致性检查、安全性评价、</w:t>
      </w:r>
      <w:bookmarkStart w:id="118" w:name="_Toc383139256"/>
      <w:r>
        <w:rPr>
          <w:rFonts w:hint="eastAsia" w:ascii="宋体" w:hAnsi="宋体" w:eastAsia="宋体"/>
          <w:szCs w:val="21"/>
        </w:rPr>
        <w:t>适用性评价</w:t>
      </w:r>
      <w:bookmarkEnd w:id="118"/>
      <w:r>
        <w:rPr>
          <w:rFonts w:hint="eastAsia" w:ascii="宋体" w:eastAsia="宋体"/>
        </w:rPr>
        <w:t>、可靠性评价</w:t>
      </w:r>
      <w:bookmarkEnd w:id="117"/>
      <w:r>
        <w:rPr>
          <w:rFonts w:hint="eastAsia" w:ascii="宋体" w:eastAsia="宋体"/>
        </w:rPr>
        <w:t>为一级指标，其包含的各检查项目为二级指标。指标分级与要求见表3。</w:t>
      </w:r>
    </w:p>
    <w:p>
      <w:pPr>
        <w:pStyle w:val="117"/>
        <w:keepNext/>
        <w:widowControl w:val="0"/>
        <w:numPr>
          <w:ilvl w:val="0"/>
          <w:numId w:val="0"/>
        </w:numPr>
      </w:pPr>
      <w:r>
        <w:rPr>
          <w:rFonts w:hint="eastAsia"/>
        </w:rPr>
        <w:t>表3初次鉴定综合判定表</w:t>
      </w:r>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08"/>
        <w:gridCol w:w="567"/>
        <w:gridCol w:w="993"/>
        <w:gridCol w:w="1418"/>
        <w:gridCol w:w="852"/>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一级指标</w:t>
            </w:r>
          </w:p>
        </w:tc>
        <w:tc>
          <w:tcPr>
            <w:tcW w:w="8185" w:type="dxa"/>
            <w:gridSpan w:val="6"/>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项目</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一致性检查</w:t>
            </w: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见表</w:t>
            </w:r>
            <w:r>
              <w:rPr>
                <w:rFonts w:hint="eastAsia" w:asciiTheme="minorEastAsia" w:hAnsiTheme="minorEastAsia" w:eastAsiaTheme="minorEastAsia"/>
                <w:sz w:val="18"/>
                <w:szCs w:val="18"/>
              </w:rPr>
              <w:t>2</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安全性评价</w:t>
            </w: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安全防护</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符合本大纲附录</w:t>
            </w:r>
            <w:r>
              <w:rPr>
                <w:rFonts w:hint="eastAsia" w:asciiTheme="minorEastAsia" w:hAnsiTheme="minorEastAsia" w:eastAsiaTheme="minorEastAsia"/>
                <w:sz w:val="18"/>
                <w:szCs w:val="18"/>
              </w:rPr>
              <w:t>B的要求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安全信息</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安全性能</w:t>
            </w:r>
          </w:p>
        </w:tc>
        <w:tc>
          <w:tcPr>
            <w:tcW w:w="993"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制动性能</w:t>
            </w:r>
          </w:p>
        </w:tc>
        <w:tc>
          <w:tcPr>
            <w:tcW w:w="1418" w:type="dxa"/>
            <w:vAlign w:val="center"/>
          </w:tcPr>
          <w:p>
            <w:pPr>
              <w:pStyle w:val="66"/>
              <w:widowControl w:val="0"/>
              <w:spacing w:line="240" w:lineRule="exact"/>
              <w:ind w:firstLine="0" w:firstLineChars="0"/>
              <w:contextualSpacing/>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冷态</w:t>
            </w:r>
            <w:r>
              <w:rPr>
                <w:rFonts w:asciiTheme="minorEastAsia" w:hAnsiTheme="minorEastAsia" w:eastAsiaTheme="minorEastAsia"/>
                <w:sz w:val="18"/>
                <w:szCs w:val="18"/>
              </w:rPr>
              <w:t>行车制动</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制动距离≤</w:t>
            </w:r>
            <w:r>
              <w:rPr>
                <w:rFonts w:hint="eastAsia" w:asciiTheme="minorEastAsia" w:hAnsiTheme="minorEastAsia" w:eastAsiaTheme="minorEastAsia"/>
                <w:sz w:val="18"/>
                <w:szCs w:val="18"/>
              </w:rPr>
              <w:t>6m  后轮无翘起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993"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8" w:type="dxa"/>
            <w:vAlign w:val="center"/>
          </w:tcPr>
          <w:p>
            <w:pPr>
              <w:pStyle w:val="66"/>
              <w:widowControl w:val="0"/>
              <w:spacing w:line="240" w:lineRule="exact"/>
              <w:ind w:firstLine="0" w:firstLineChars="0"/>
              <w:contextualSpacing/>
              <w:jc w:val="left"/>
              <w:rPr>
                <w:rFonts w:asciiTheme="minorEastAsia" w:hAnsiTheme="minorEastAsia" w:eastAsiaTheme="minorEastAsia"/>
                <w:sz w:val="18"/>
                <w:szCs w:val="18"/>
              </w:rPr>
            </w:pPr>
            <w:r>
              <w:rPr>
                <w:rFonts w:asciiTheme="minorEastAsia" w:hAnsiTheme="minorEastAsia" w:eastAsiaTheme="minorEastAsia"/>
                <w:sz w:val="18"/>
                <w:szCs w:val="18"/>
              </w:rPr>
              <w:t>驻车制动</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轮式收获机</w:t>
            </w:r>
            <w:r>
              <w:rPr>
                <w:rFonts w:asciiTheme="minorEastAsia" w:hAnsiTheme="minorEastAsia" w:eastAsiaTheme="minorEastAsia"/>
                <w:sz w:val="18"/>
                <w:szCs w:val="18"/>
              </w:rPr>
              <w:t>能可靠地停在</w:t>
            </w:r>
            <w:r>
              <w:rPr>
                <w:rFonts w:hint="eastAsia" w:asciiTheme="minorEastAsia" w:hAnsiTheme="minorEastAsia" w:eastAsiaTheme="minorEastAsia"/>
                <w:sz w:val="18"/>
                <w:szCs w:val="18"/>
              </w:rPr>
              <w:t>20%的干硬坡道上；履带式收获机能可靠停在25%的感应坡道上。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2411" w:type="dxa"/>
            <w:gridSpan w:val="2"/>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驾驶员耳位噪声</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hint="eastAsia" w:asciiTheme="minorEastAsia" w:hAnsiTheme="minorEastAsia" w:eastAsiaTheme="minorEastAsia"/>
                <w:sz w:val="18"/>
                <w:szCs w:val="18"/>
              </w:rPr>
              <w:t>B（A）</w:t>
            </w:r>
          </w:p>
        </w:tc>
        <w:tc>
          <w:tcPr>
            <w:tcW w:w="3647" w:type="dxa"/>
            <w:vAlign w:val="center"/>
          </w:tcPr>
          <w:p>
            <w:pPr>
              <w:pStyle w:val="66"/>
              <w:widowControl w:val="0"/>
              <w:spacing w:line="240" w:lineRule="exact"/>
              <w:ind w:firstLine="360"/>
              <w:contextualSpacing/>
              <w:jc w:val="center"/>
              <w:rPr>
                <w:rFonts w:asciiTheme="minorEastAsia" w:hAnsiTheme="minorEastAsia" w:eastAsiaTheme="minorEastAsia"/>
                <w:sz w:val="18"/>
                <w:szCs w:val="18"/>
              </w:rPr>
            </w:pPr>
            <w:r>
              <w:rPr>
                <w:rFonts w:hint="eastAsia" w:hAnsi="宋体"/>
                <w:sz w:val="18"/>
                <w:szCs w:val="18"/>
              </w:rPr>
              <w:t>带密封驾驶室≤85、普通驾驶室≤93、无驾驶室或简易驾驶室≤95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安全装备</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符合本大纲5.2.3条款的要求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适用性评价</w:t>
            </w: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总损失率</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36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籽粒含杂率</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36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籽粒划伤率</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36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籽粒破损率</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适用性用户调查</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调查结果为“好”、“中”的占比不小于80%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可靠性评价</w:t>
            </w: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有效度</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用户满意度</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6"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70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978" w:type="dxa"/>
            <w:gridSpan w:val="3"/>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故障情况</w:t>
            </w:r>
          </w:p>
        </w:tc>
        <w:tc>
          <w:tcPr>
            <w:tcW w:w="852"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64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生产查定和用户调查中均未发生严重故障、致命故障。</w:t>
            </w:r>
          </w:p>
        </w:tc>
      </w:tr>
    </w:tbl>
    <w:p>
      <w:pPr>
        <w:pStyle w:val="66"/>
        <w:spacing w:beforeLines="50" w:afterLines="50"/>
        <w:ind w:right="420" w:firstLine="0" w:firstLineChars="0"/>
        <w:contextualSpacing/>
        <w:rPr>
          <w:rFonts w:asciiTheme="minorEastAsia" w:hAnsiTheme="minorEastAsia" w:eastAsiaTheme="minorEastAsia"/>
        </w:rPr>
      </w:pPr>
      <w:r>
        <w:rPr>
          <w:rFonts w:hint="eastAsia" w:ascii="黑体" w:hAnsi="黑体" w:eastAsia="黑体"/>
        </w:rPr>
        <w:t xml:space="preserve">5.5.2  </w:t>
      </w:r>
      <w:r>
        <w:rPr>
          <w:rFonts w:hint="eastAsia" w:asciiTheme="minorEastAsia" w:hAnsiTheme="minorEastAsia" w:eastAsiaTheme="minorEastAsia"/>
        </w:rPr>
        <w:t>一级指标均符合大纲要求时，推广鉴定结论为通过；否则，推广鉴定结论为不通过。</w:t>
      </w:r>
    </w:p>
    <w:p>
      <w:pPr>
        <w:pStyle w:val="66"/>
        <w:spacing w:beforeLines="50" w:afterLines="50" w:line="160" w:lineRule="exact"/>
        <w:ind w:right="420" w:firstLine="0" w:firstLineChars="0"/>
        <w:contextualSpacing/>
        <w:rPr>
          <w:rFonts w:asciiTheme="minorEastAsia" w:hAnsiTheme="minorEastAsia" w:eastAsiaTheme="minorEastAsia"/>
        </w:rPr>
      </w:pPr>
    </w:p>
    <w:p>
      <w:pPr>
        <w:pStyle w:val="66"/>
        <w:spacing w:beforeLines="100" w:afterLines="100"/>
        <w:ind w:right="420" w:firstLine="0" w:firstLineChars="0"/>
        <w:contextualSpacing/>
        <w:rPr>
          <w:rFonts w:ascii="黑体" w:hAnsi="黑体" w:eastAsia="黑体"/>
        </w:rPr>
      </w:pPr>
      <w:r>
        <w:rPr>
          <w:rFonts w:hint="eastAsia" w:ascii="黑体" w:hAnsi="黑体" w:eastAsia="黑体"/>
        </w:rPr>
        <w:t>6  产品变更</w:t>
      </w:r>
    </w:p>
    <w:p>
      <w:pPr>
        <w:pStyle w:val="66"/>
        <w:spacing w:beforeLines="50" w:afterLines="50" w:line="160" w:lineRule="exact"/>
        <w:ind w:right="420" w:firstLine="0" w:firstLineChars="0"/>
        <w:contextualSpacing/>
        <w:rPr>
          <w:rFonts w:ascii="黑体" w:hAnsi="黑体" w:eastAsia="黑体"/>
        </w:rPr>
      </w:pPr>
    </w:p>
    <w:p>
      <w:pPr>
        <w:pStyle w:val="66"/>
        <w:spacing w:beforeLines="50"/>
        <w:ind w:firstLine="0" w:firstLineChars="0"/>
        <w:contextualSpacing/>
        <w:rPr>
          <w:rFonts w:hAnsi="宋体" w:cs="宋体"/>
          <w:szCs w:val="21"/>
        </w:rPr>
      </w:pPr>
      <w:r>
        <w:rPr>
          <w:rFonts w:hint="eastAsia" w:ascii="黑体" w:hAnsi="黑体" w:eastAsia="黑体"/>
        </w:rPr>
        <w:t xml:space="preserve">6.1 </w:t>
      </w:r>
      <w:r>
        <w:rPr>
          <w:rFonts w:hint="eastAsia" w:hAnsi="宋体" w:cs="宋体"/>
          <w:szCs w:val="21"/>
        </w:rPr>
        <w:t>通过推广鉴定的产品，在证书有效期内其产品结构和特征参数变化情形、变化幅度和要求见表4。</w:t>
      </w:r>
    </w:p>
    <w:p>
      <w:pPr>
        <w:pStyle w:val="117"/>
        <w:keepNext/>
        <w:widowControl w:val="0"/>
        <w:numPr>
          <w:ilvl w:val="0"/>
          <w:numId w:val="0"/>
        </w:numPr>
      </w:pPr>
      <w:r>
        <w:rPr>
          <w:rFonts w:hint="eastAsia"/>
        </w:rPr>
        <w:t xml:space="preserve">表4 </w:t>
      </w:r>
      <w:r>
        <w:t xml:space="preserve"> 产品结构和特征参数变化情形</w:t>
      </w:r>
      <w:r>
        <w:rPr>
          <w:rFonts w:hint="eastAsia"/>
        </w:rPr>
        <w:t>、</w:t>
      </w:r>
      <w:r>
        <w:t>变化幅度和要求</w:t>
      </w:r>
    </w:p>
    <w:tbl>
      <w:tblPr>
        <w:tblStyle w:val="2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96"/>
        <w:gridCol w:w="1135"/>
        <w:gridCol w:w="2410"/>
        <w:gridCol w:w="993"/>
        <w:gridCol w:w="111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序号</w:t>
            </w:r>
          </w:p>
        </w:tc>
        <w:tc>
          <w:tcPr>
            <w:tcW w:w="209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检查项目</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变化情形</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变化幅度和要求</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检查方法</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自走式</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其他型式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配套发动机额定功率</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w:t>
            </w:r>
            <w:r>
              <w:rPr>
                <w:rFonts w:hAnsi="宋体"/>
                <w:sz w:val="18"/>
                <w:szCs w:val="18"/>
              </w:rPr>
              <w:t>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w:t>
            </w:r>
          </w:p>
        </w:tc>
        <w:tc>
          <w:tcPr>
            <w:tcW w:w="2096" w:type="dxa"/>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配套发动机</w:t>
            </w:r>
            <w:r>
              <w:rPr>
                <w:rFonts w:hAnsi="宋体"/>
                <w:sz w:val="18"/>
                <w:szCs w:val="18"/>
              </w:rPr>
              <w:t>额定转速</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变化幅度≤</w:t>
            </w:r>
            <w:r>
              <w:rPr>
                <w:rFonts w:hint="eastAsia" w:hAnsi="宋体"/>
                <w:sz w:val="18"/>
                <w:szCs w:val="18"/>
              </w:rPr>
              <w:t>5%</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3</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工作状态外形尺寸</w:t>
            </w:r>
            <w:r>
              <w:rPr>
                <w:rFonts w:hint="eastAsia" w:hAnsi="宋体"/>
                <w:sz w:val="18"/>
                <w:szCs w:val="18"/>
              </w:rPr>
              <w:t>（长×宽×高）</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w:t>
            </w:r>
            <w:r>
              <w:rPr>
                <w:rFonts w:hAnsi="宋体"/>
                <w:sz w:val="18"/>
                <w:szCs w:val="18"/>
              </w:rPr>
              <w:t>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变化幅度≤</w:t>
            </w:r>
            <w:r>
              <w:rPr>
                <w:rFonts w:hint="eastAsia" w:hAnsi="宋体"/>
                <w:sz w:val="18"/>
                <w:szCs w:val="18"/>
              </w:rPr>
              <w:t>10%</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4</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工作幅宽</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不允许</w:t>
            </w:r>
            <w:r>
              <w:rPr>
                <w:rFonts w:hAnsi="宋体"/>
                <w:sz w:val="18"/>
                <w:szCs w:val="18"/>
              </w:rPr>
              <w:t>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5</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收获行数</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6</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拉茎辊型式</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7</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割台升降方式</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8</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脱粒机构型式</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9</w:t>
            </w:r>
          </w:p>
        </w:tc>
        <w:tc>
          <w:tcPr>
            <w:tcW w:w="2096" w:type="dxa"/>
            <w:vAlign w:val="center"/>
          </w:tcPr>
          <w:p>
            <w:pPr>
              <w:pStyle w:val="66"/>
              <w:widowControl w:val="0"/>
              <w:spacing w:line="240" w:lineRule="exact"/>
              <w:ind w:firstLine="0" w:firstLineChars="0"/>
              <w:contextualSpacing/>
              <w:rPr>
                <w:rFonts w:hAnsi="宋体"/>
                <w:sz w:val="18"/>
                <w:szCs w:val="18"/>
              </w:rPr>
            </w:pPr>
            <w:r>
              <w:rPr>
                <w:rFonts w:hAnsi="宋体"/>
                <w:sz w:val="18"/>
                <w:szCs w:val="18"/>
              </w:rPr>
              <w:t>脱粒滚筒数量</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10</w:t>
            </w:r>
          </w:p>
        </w:tc>
        <w:tc>
          <w:tcPr>
            <w:tcW w:w="2096" w:type="dxa"/>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清选型式</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11</w:t>
            </w:r>
          </w:p>
        </w:tc>
        <w:tc>
          <w:tcPr>
            <w:tcW w:w="2096" w:type="dxa"/>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驱动方式（两驱、四驱）</w:t>
            </w:r>
          </w:p>
        </w:tc>
        <w:tc>
          <w:tcPr>
            <w:tcW w:w="1135"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不允许变化</w:t>
            </w:r>
          </w:p>
        </w:tc>
        <w:tc>
          <w:tcPr>
            <w:tcW w:w="2410"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993"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12</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Ansi="宋体"/>
                <w:sz w:val="18"/>
                <w:szCs w:val="18"/>
              </w:rPr>
              <w:t>制动器型式</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验证制动性能</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按本大纲5.2.2.1条款要求进行验证</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13</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驾驶室型式</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简易驾驶室可以变为普通驾驶室或封闭驾驶室；普通驾驶室可以变为封闭驾驶室。</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14</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Ansi="宋体"/>
                <w:sz w:val="18"/>
                <w:szCs w:val="18"/>
              </w:rPr>
              <w:t>轴距</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w:t>
            </w:r>
            <w:r>
              <w:rPr>
                <w:rFonts w:hAnsi="宋体"/>
                <w:sz w:val="18"/>
                <w:szCs w:val="18"/>
              </w:rPr>
              <w:t>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15</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前轮轮距</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w:t>
            </w:r>
            <w:r>
              <w:rPr>
                <w:rFonts w:hAnsi="宋体"/>
                <w:sz w:val="18"/>
                <w:szCs w:val="18"/>
              </w:rPr>
              <w:t>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16</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Ansi="宋体"/>
                <w:sz w:val="18"/>
                <w:szCs w:val="18"/>
              </w:rPr>
              <w:t>后轮</w:t>
            </w:r>
            <w:r>
              <w:rPr>
                <w:rFonts w:hint="eastAsia" w:hAnsi="宋体"/>
                <w:sz w:val="18"/>
                <w:szCs w:val="18"/>
              </w:rPr>
              <w:t>轮距</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w:t>
            </w:r>
            <w:r>
              <w:rPr>
                <w:rFonts w:hAnsi="宋体"/>
                <w:sz w:val="18"/>
                <w:szCs w:val="18"/>
              </w:rPr>
              <w:t>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17</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履带宽度</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18</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履带</w:t>
            </w:r>
            <w:r>
              <w:rPr>
                <w:rFonts w:hAnsi="宋体"/>
                <w:sz w:val="18"/>
                <w:szCs w:val="18"/>
              </w:rPr>
              <w:t>接地长</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19</w:t>
            </w:r>
          </w:p>
        </w:tc>
        <w:tc>
          <w:tcPr>
            <w:tcW w:w="209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rPr>
                <w:rFonts w:hAnsi="宋体"/>
                <w:sz w:val="18"/>
                <w:szCs w:val="18"/>
              </w:rPr>
            </w:pPr>
            <w:r>
              <w:rPr>
                <w:rFonts w:hint="eastAsia" w:hAnsi="宋体"/>
                <w:sz w:val="18"/>
                <w:szCs w:val="18"/>
              </w:rPr>
              <w:t>履带轨距</w:t>
            </w:r>
          </w:p>
        </w:tc>
        <w:tc>
          <w:tcPr>
            <w:tcW w:w="1135"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允许变化</w:t>
            </w:r>
          </w:p>
        </w:tc>
        <w:tc>
          <w:tcPr>
            <w:tcW w:w="2410"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允许变大</w:t>
            </w:r>
            <w:r>
              <w:rPr>
                <w:rFonts w:hint="eastAsia" w:hAnsi="宋体"/>
                <w:sz w:val="18"/>
                <w:szCs w:val="18"/>
              </w:rPr>
              <w:t>，</w:t>
            </w:r>
            <w:r>
              <w:rPr>
                <w:rFonts w:hAnsi="宋体"/>
                <w:sz w:val="18"/>
                <w:szCs w:val="18"/>
              </w:rPr>
              <w:t>变化幅度≤</w:t>
            </w:r>
            <w:r>
              <w:rPr>
                <w:rFonts w:hint="eastAsia" w:hAnsi="宋体"/>
                <w:sz w:val="18"/>
                <w:szCs w:val="18"/>
              </w:rPr>
              <w:t>10%</w:t>
            </w:r>
          </w:p>
        </w:tc>
        <w:tc>
          <w:tcPr>
            <w:tcW w:w="993"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1116" w:type="dxa"/>
            <w:tcBorders>
              <w:top w:val="single" w:color="auto" w:sz="4" w:space="0"/>
              <w:left w:val="single" w:color="auto" w:sz="4" w:space="0"/>
              <w:bottom w:val="single" w:color="auto" w:sz="4" w:space="0"/>
              <w:right w:val="single" w:color="auto" w:sz="4" w:space="0"/>
            </w:tcBorders>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bl>
    <w:p>
      <w:pPr>
        <w:pStyle w:val="66"/>
        <w:spacing w:beforeLines="50" w:afterLines="50"/>
        <w:ind w:right="420" w:firstLine="0" w:firstLineChars="0"/>
        <w:contextualSpacing/>
        <w:rPr>
          <w:rFonts w:asciiTheme="minorEastAsia" w:hAnsiTheme="minorEastAsia" w:eastAsiaTheme="minorEastAsia"/>
        </w:rPr>
      </w:pPr>
      <w:r>
        <w:rPr>
          <w:rFonts w:hint="eastAsia" w:ascii="黑体" w:hAnsi="黑体" w:eastAsia="黑体"/>
        </w:rPr>
        <w:t xml:space="preserve">6.2  </w:t>
      </w:r>
      <w:r>
        <w:rPr>
          <w:rFonts w:hint="eastAsia" w:asciiTheme="minorEastAsia" w:hAnsiTheme="minorEastAsia" w:eastAsiaTheme="minorEastAsia"/>
        </w:rPr>
        <w:t>产品结构和特征参数的变更符合表4要求的，企业自主变更并保存变更批准文件。</w:t>
      </w:r>
    </w:p>
    <w:p>
      <w:pPr>
        <w:pStyle w:val="66"/>
        <w:spacing w:beforeLines="50" w:afterLines="50"/>
        <w:ind w:right="420" w:firstLine="0" w:firstLineChars="0"/>
        <w:contextualSpacing/>
        <w:rPr>
          <w:rFonts w:asciiTheme="minorEastAsia" w:hAnsiTheme="minorEastAsia" w:eastAsiaTheme="minorEastAsia"/>
        </w:rPr>
      </w:pPr>
      <w:r>
        <w:rPr>
          <w:rFonts w:hint="eastAsia" w:ascii="黑体" w:hAnsi="黑体" w:eastAsia="黑体"/>
        </w:rPr>
        <w:t>6.3</w:t>
      </w:r>
      <w:r>
        <w:rPr>
          <w:rFonts w:hint="eastAsia" w:asciiTheme="minorEastAsia" w:hAnsiTheme="minorEastAsia" w:eastAsiaTheme="minorEastAsia"/>
        </w:rPr>
        <w:t xml:space="preserve">  未列入产品变更控制范围内的，视为允许企业自主变更。</w:t>
      </w:r>
    </w:p>
    <w:p>
      <w:pPr>
        <w:pStyle w:val="66"/>
        <w:spacing w:beforeLines="50" w:afterLines="50"/>
        <w:ind w:right="420" w:firstLine="0" w:firstLineChars="0"/>
        <w:contextualSpacing/>
        <w:rPr>
          <w:rFonts w:asciiTheme="minorEastAsia" w:hAnsiTheme="minorEastAsia" w:eastAsiaTheme="minorEastAsia"/>
        </w:rPr>
      </w:pPr>
      <w:r>
        <w:rPr>
          <w:rFonts w:hint="eastAsia" w:ascii="黑体" w:hAnsi="黑体" w:eastAsia="黑体"/>
        </w:rPr>
        <w:t>6.4</w:t>
      </w:r>
      <w:r>
        <w:rPr>
          <w:rFonts w:hint="eastAsia" w:asciiTheme="minorEastAsia" w:hAnsiTheme="minorEastAsia" w:eastAsiaTheme="minorEastAsia"/>
        </w:rPr>
        <w:t xml:space="preserve">  因执行国家法律法规提出的新要求或强制性标准新要求而造成产品结构和特征参数变化，与表4要求不一致的，应申报变更确认。</w:t>
      </w:r>
    </w:p>
    <w:p>
      <w:pPr>
        <w:pStyle w:val="66"/>
        <w:spacing w:beforeLines="50" w:afterLines="50"/>
        <w:ind w:right="420" w:firstLine="0" w:firstLineChars="0"/>
        <w:contextualSpacing/>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附 录 A</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（规范性附录）</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产品规格表</w:t>
      </w: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1276"/>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Merge w:val="restart"/>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序号</w:t>
            </w:r>
          </w:p>
        </w:tc>
        <w:tc>
          <w:tcPr>
            <w:tcW w:w="3119" w:type="dxa"/>
            <w:vMerge w:val="restart"/>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项目</w:t>
            </w:r>
          </w:p>
        </w:tc>
        <w:tc>
          <w:tcPr>
            <w:tcW w:w="1276" w:type="dxa"/>
            <w:vMerge w:val="restart"/>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单位</w:t>
            </w:r>
          </w:p>
        </w:tc>
        <w:tc>
          <w:tcPr>
            <w:tcW w:w="4536" w:type="dxa"/>
            <w:gridSpan w:val="2"/>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Merge w:val="continue"/>
            <w:vAlign w:val="center"/>
          </w:tcPr>
          <w:p>
            <w:pPr>
              <w:pStyle w:val="66"/>
              <w:widowControl w:val="0"/>
              <w:spacing w:line="240" w:lineRule="exact"/>
              <w:ind w:firstLine="0" w:firstLineChars="0"/>
              <w:contextualSpacing/>
              <w:jc w:val="center"/>
              <w:rPr>
                <w:rFonts w:hAnsi="宋体"/>
                <w:sz w:val="18"/>
                <w:szCs w:val="18"/>
              </w:rPr>
            </w:pPr>
          </w:p>
        </w:tc>
        <w:tc>
          <w:tcPr>
            <w:tcW w:w="3119" w:type="dxa"/>
            <w:vMerge w:val="continue"/>
            <w:vAlign w:val="center"/>
          </w:tcPr>
          <w:p>
            <w:pPr>
              <w:pStyle w:val="66"/>
              <w:widowControl w:val="0"/>
              <w:spacing w:line="240" w:lineRule="exact"/>
              <w:ind w:firstLine="0" w:firstLineChars="0"/>
              <w:contextualSpacing/>
              <w:jc w:val="center"/>
              <w:rPr>
                <w:rFonts w:hAnsi="宋体"/>
                <w:sz w:val="18"/>
                <w:szCs w:val="18"/>
              </w:rPr>
            </w:pPr>
          </w:p>
        </w:tc>
        <w:tc>
          <w:tcPr>
            <w:tcW w:w="1276" w:type="dxa"/>
            <w:vMerge w:val="continue"/>
            <w:vAlign w:val="center"/>
          </w:tcPr>
          <w:p>
            <w:pPr>
              <w:pStyle w:val="66"/>
              <w:widowControl w:val="0"/>
              <w:spacing w:line="240" w:lineRule="exact"/>
              <w:ind w:firstLine="0" w:firstLineChars="0"/>
              <w:contextualSpacing/>
              <w:jc w:val="center"/>
              <w:rPr>
                <w:rFonts w:hAnsi="宋体"/>
                <w:sz w:val="18"/>
                <w:szCs w:val="18"/>
              </w:rPr>
            </w:pP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自走式</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其他型式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型号名称</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配套发动机</w:t>
            </w:r>
            <w:r>
              <w:rPr>
                <w:rFonts w:hAnsi="宋体"/>
                <w:sz w:val="18"/>
                <w:szCs w:val="18"/>
              </w:rPr>
              <w:t>额定功率</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k</w:t>
            </w:r>
            <w:r>
              <w:rPr>
                <w:rFonts w:hint="eastAsia" w:hAnsi="宋体"/>
                <w:sz w:val="18"/>
                <w:szCs w:val="18"/>
              </w:rPr>
              <w:t>W</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3</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配套发动机</w:t>
            </w:r>
            <w:r>
              <w:rPr>
                <w:rFonts w:hAnsi="宋体"/>
                <w:sz w:val="18"/>
                <w:szCs w:val="18"/>
              </w:rPr>
              <w:t>额定转速</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r</w:t>
            </w:r>
            <w:r>
              <w:rPr>
                <w:rFonts w:hint="eastAsia" w:hAnsi="宋体"/>
                <w:sz w:val="18"/>
                <w:szCs w:val="18"/>
              </w:rPr>
              <w:t>/min</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4</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整机</w:t>
            </w:r>
            <w:r>
              <w:rPr>
                <w:rFonts w:hAnsi="宋体"/>
                <w:sz w:val="18"/>
                <w:szCs w:val="18"/>
              </w:rPr>
              <w:t>外形尺寸</w:t>
            </w:r>
            <w:r>
              <w:rPr>
                <w:rFonts w:hint="eastAsia" w:hAnsi="宋体"/>
                <w:sz w:val="18"/>
                <w:szCs w:val="18"/>
              </w:rPr>
              <w:t>（长×宽×高）</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5</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工作幅宽</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6</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收获行数</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行</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7</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拉茎辊型式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8</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葵盘处理方式（抛撒、集盘箱）</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9</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拨禾喂入轮型式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10</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拨禾喂入轮直径</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11</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割台升降方式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12</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脱粒机构型式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13</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脱粒滚筒数量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个</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14</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清选型式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15</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驱动方式（两驱、四驱）</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16</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驱动桥型式（前、后）</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17</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制动器型式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18</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驾驶室型式</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19</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轴距</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20</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前轮轮距</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21</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后轮</w:t>
            </w:r>
            <w:r>
              <w:rPr>
                <w:rFonts w:hint="eastAsia" w:hAnsi="宋体"/>
                <w:sz w:val="18"/>
                <w:szCs w:val="18"/>
              </w:rPr>
              <w:t>轮距</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22</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前轮轮胎规格</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23</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后轮</w:t>
            </w:r>
            <w:r>
              <w:rPr>
                <w:rFonts w:hint="eastAsia" w:hAnsi="宋体"/>
                <w:sz w:val="18"/>
                <w:szCs w:val="18"/>
              </w:rPr>
              <w:t>轮胎规格</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24</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履带宽度</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25</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履带接地长</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709"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26</w:t>
            </w:r>
          </w:p>
        </w:tc>
        <w:tc>
          <w:tcPr>
            <w:tcW w:w="3119"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履带轨距</w:t>
            </w:r>
          </w:p>
        </w:tc>
        <w:tc>
          <w:tcPr>
            <w:tcW w:w="1276" w:type="dxa"/>
            <w:vAlign w:val="center"/>
          </w:tcPr>
          <w:p>
            <w:pPr>
              <w:pStyle w:val="66"/>
              <w:widowControl w:val="0"/>
              <w:spacing w:line="240" w:lineRule="exact"/>
              <w:ind w:firstLine="0" w:firstLineChars="0"/>
              <w:contextualSpacing/>
              <w:jc w:val="center"/>
              <w:rPr>
                <w:rFonts w:hAnsi="宋体"/>
                <w:sz w:val="18"/>
                <w:szCs w:val="18"/>
              </w:rPr>
            </w:pPr>
            <w:r>
              <w:rPr>
                <w:rFonts w:hAnsi="宋体"/>
                <w:sz w:val="18"/>
                <w:szCs w:val="18"/>
              </w:rPr>
              <w:t>mm</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c>
          <w:tcPr>
            <w:tcW w:w="2268" w:type="dxa"/>
            <w:vAlign w:val="center"/>
          </w:tcPr>
          <w:p>
            <w:pPr>
              <w:pStyle w:val="66"/>
              <w:widowControl w:val="0"/>
              <w:spacing w:line="240" w:lineRule="exact"/>
              <w:ind w:firstLine="0" w:firstLineChars="0"/>
              <w:contextualSpacing/>
              <w:jc w:val="center"/>
              <w:rPr>
                <w:rFonts w:hAnsi="宋体"/>
                <w:sz w:val="18"/>
                <w:szCs w:val="18"/>
              </w:rPr>
            </w:pPr>
            <w:r>
              <w:rPr>
                <w:rFonts w:hint="eastAsia" w:hAnsi="宋体"/>
                <w:sz w:val="18"/>
                <w:szCs w:val="18"/>
              </w:rPr>
              <w:t>/</w:t>
            </w:r>
          </w:p>
        </w:tc>
      </w:tr>
    </w:tbl>
    <w:p>
      <w:pPr>
        <w:pStyle w:val="66"/>
        <w:spacing w:beforeLines="50" w:afterLines="50"/>
        <w:ind w:right="420" w:firstLine="0" w:firstLineChars="0"/>
        <w:contextualSpacing/>
        <w:rPr>
          <w:rFonts w:asciiTheme="minorEastAsia" w:hAnsiTheme="minorEastAsia" w:eastAsiaTheme="minorEastAsia"/>
          <w:szCs w:val="21"/>
        </w:rPr>
      </w:pPr>
    </w:p>
    <w:p>
      <w:pPr>
        <w:pStyle w:val="66"/>
        <w:spacing w:beforeLines="50" w:afterLines="50"/>
        <w:ind w:right="420" w:firstLine="0" w:firstLineChars="0"/>
        <w:contextualSpacing/>
        <w:rPr>
          <w:rFonts w:asciiTheme="minorEastAsia" w:hAnsiTheme="minorEastAsia" w:eastAsiaTheme="minorEastAsia"/>
          <w:szCs w:val="21"/>
        </w:rPr>
      </w:pPr>
      <w:r>
        <w:rPr>
          <w:rFonts w:asciiTheme="minorEastAsia" w:hAnsiTheme="minorEastAsia" w:eastAsiaTheme="minorEastAsia"/>
          <w:szCs w:val="21"/>
        </w:rPr>
        <w:t>企业负责人</w:t>
      </w:r>
      <w:r>
        <w:rPr>
          <w:rFonts w:hint="eastAsia" w:asciiTheme="minorEastAsia" w:hAnsiTheme="minorEastAsia" w:eastAsiaTheme="minorEastAsia"/>
          <w:szCs w:val="21"/>
        </w:rPr>
        <w:t>：                     （公章）                   年      月      日</w:t>
      </w: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附 录 B</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（规范性附录）</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安全性检查明细表</w:t>
      </w:r>
    </w:p>
    <w:tbl>
      <w:tblPr>
        <w:tblStyle w:val="30"/>
        <w:tblW w:w="97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
        <w:gridCol w:w="1417"/>
        <w:gridCol w:w="5245"/>
        <w:gridCol w:w="85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984" w:type="dxa"/>
            <w:gridSpan w:val="2"/>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检查项目</w:t>
            </w:r>
          </w:p>
        </w:tc>
        <w:tc>
          <w:tcPr>
            <w:tcW w:w="5245"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合格指标说明</w:t>
            </w:r>
          </w:p>
        </w:tc>
        <w:tc>
          <w:tcPr>
            <w:tcW w:w="850"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自走式</w:t>
            </w:r>
          </w:p>
        </w:tc>
        <w:tc>
          <w:tcPr>
            <w:tcW w:w="95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其他型式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10"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pPr>
              <w:pStyle w:val="66"/>
              <w:widowControl w:val="0"/>
              <w:spacing w:line="4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安全防护</w:t>
            </w: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危险件防护</w:t>
            </w:r>
          </w:p>
        </w:tc>
        <w:tc>
          <w:tcPr>
            <w:tcW w:w="5245" w:type="dxa"/>
            <w:vAlign w:val="center"/>
          </w:tcPr>
          <w:p>
            <w:pPr>
              <w:pStyle w:val="66"/>
              <w:widowControl w:val="0"/>
              <w:spacing w:line="260" w:lineRule="exact"/>
              <w:ind w:firstLine="360"/>
              <w:contextualSpacing/>
              <w:rPr>
                <w:rFonts w:asciiTheme="minorEastAsia" w:hAnsiTheme="minorEastAsia" w:eastAsiaTheme="minorEastAsia"/>
                <w:sz w:val="18"/>
                <w:szCs w:val="18"/>
              </w:rPr>
            </w:pPr>
            <w:r>
              <w:rPr>
                <w:rFonts w:asciiTheme="minorEastAsia" w:hAnsiTheme="minorEastAsia" w:eastAsiaTheme="minorEastAsia"/>
                <w:sz w:val="18"/>
                <w:szCs w:val="18"/>
              </w:rPr>
              <w:t>各传动轴</w:t>
            </w:r>
            <w:r>
              <w:rPr>
                <w:rFonts w:hint="eastAsia" w:asciiTheme="minorEastAsia" w:hAnsiTheme="minorEastAsia" w:eastAsiaTheme="minorEastAsia"/>
                <w:sz w:val="18"/>
                <w:szCs w:val="18"/>
              </w:rPr>
              <w:t>、</w:t>
            </w:r>
            <w:r>
              <w:rPr>
                <w:rFonts w:asciiTheme="minorEastAsia" w:hAnsiTheme="minorEastAsia" w:eastAsiaTheme="minorEastAsia"/>
                <w:sz w:val="18"/>
                <w:szCs w:val="18"/>
              </w:rPr>
              <w:t>带轮</w:t>
            </w:r>
            <w:r>
              <w:rPr>
                <w:rFonts w:hint="eastAsia" w:asciiTheme="minorEastAsia" w:hAnsiTheme="minorEastAsia" w:eastAsiaTheme="minorEastAsia"/>
                <w:sz w:val="18"/>
                <w:szCs w:val="18"/>
              </w:rPr>
              <w:t>、</w:t>
            </w:r>
            <w:r>
              <w:rPr>
                <w:rFonts w:asciiTheme="minorEastAsia" w:hAnsiTheme="minorEastAsia" w:eastAsiaTheme="minorEastAsia"/>
                <w:sz w:val="18"/>
                <w:szCs w:val="18"/>
              </w:rPr>
              <w:t>链轮</w:t>
            </w:r>
            <w:r>
              <w:rPr>
                <w:rFonts w:hint="eastAsia" w:asciiTheme="minorEastAsia" w:hAnsiTheme="minorEastAsia" w:eastAsiaTheme="minorEastAsia"/>
                <w:sz w:val="18"/>
                <w:szCs w:val="18"/>
              </w:rPr>
              <w:t>、</w:t>
            </w:r>
            <w:r>
              <w:rPr>
                <w:rFonts w:asciiTheme="minorEastAsia" w:hAnsiTheme="minorEastAsia" w:eastAsiaTheme="minorEastAsia"/>
                <w:sz w:val="18"/>
                <w:szCs w:val="18"/>
              </w:rPr>
              <w:t>传动带和链条等外露运动件应有防护装置</w:t>
            </w:r>
            <w:r>
              <w:rPr>
                <w:rFonts w:hint="eastAsia" w:asciiTheme="minorEastAsia" w:hAnsiTheme="minorEastAsia" w:eastAsiaTheme="minorEastAsia"/>
                <w:sz w:val="18"/>
                <w:szCs w:val="18"/>
              </w:rPr>
              <w:t>。</w:t>
            </w:r>
          </w:p>
        </w:tc>
        <w:tc>
          <w:tcPr>
            <w:tcW w:w="850"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hAnsi="宋体"/>
                <w:sz w:val="18"/>
                <w:szCs w:val="18"/>
              </w:rPr>
              <w:t>√</w:t>
            </w:r>
          </w:p>
        </w:tc>
        <w:tc>
          <w:tcPr>
            <w:tcW w:w="958"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梯子</w:t>
            </w:r>
            <w:r>
              <w:rPr>
                <w:rFonts w:hint="eastAsia" w:asciiTheme="minorEastAsia" w:hAnsiTheme="minorEastAsia" w:eastAsiaTheme="minorEastAsia"/>
                <w:sz w:val="18"/>
                <w:szCs w:val="18"/>
              </w:rPr>
              <w:t>、</w:t>
            </w:r>
            <w:r>
              <w:rPr>
                <w:rFonts w:asciiTheme="minorEastAsia" w:hAnsiTheme="minorEastAsia" w:eastAsiaTheme="minorEastAsia"/>
                <w:sz w:val="18"/>
                <w:szCs w:val="18"/>
              </w:rPr>
              <w:t>踏板</w:t>
            </w:r>
          </w:p>
        </w:tc>
        <w:tc>
          <w:tcPr>
            <w:tcW w:w="5245" w:type="dxa"/>
            <w:vAlign w:val="center"/>
          </w:tcPr>
          <w:p>
            <w:pPr>
              <w:pStyle w:val="66"/>
              <w:widowControl w:val="0"/>
              <w:spacing w:line="260" w:lineRule="exact"/>
              <w:ind w:firstLine="360"/>
              <w:contextualSpacing/>
              <w:rPr>
                <w:sz w:val="18"/>
                <w:szCs w:val="18"/>
              </w:rPr>
            </w:pPr>
            <w:bookmarkStart w:id="119" w:name="_Toc471142468"/>
            <w:bookmarkStart w:id="120" w:name="_Toc471142624"/>
            <w:r>
              <w:rPr>
                <w:sz w:val="18"/>
                <w:szCs w:val="18"/>
              </w:rPr>
              <w:t>a</w:t>
            </w:r>
            <w:r>
              <w:rPr>
                <w:rFonts w:hint="eastAsia"/>
                <w:sz w:val="18"/>
                <w:szCs w:val="18"/>
              </w:rPr>
              <w:t>）操作者必须到达的地方应安装扶手和梯子</w:t>
            </w:r>
            <w:bookmarkEnd w:id="119"/>
            <w:bookmarkEnd w:id="120"/>
            <w:bookmarkStart w:id="121" w:name="_Toc471142469"/>
            <w:bookmarkStart w:id="122" w:name="_Toc471142625"/>
            <w:r>
              <w:rPr>
                <w:rFonts w:hint="eastAsia"/>
                <w:sz w:val="18"/>
                <w:szCs w:val="18"/>
              </w:rPr>
              <w:t>，梯子的结构应防滑，防止形成泥土层</w:t>
            </w:r>
            <w:bookmarkEnd w:id="121"/>
            <w:bookmarkEnd w:id="122"/>
            <w:r>
              <w:rPr>
                <w:rFonts w:hint="eastAsia"/>
                <w:sz w:val="18"/>
                <w:szCs w:val="18"/>
              </w:rPr>
              <w:t>，</w:t>
            </w:r>
            <w:bookmarkStart w:id="123" w:name="_Toc471142470"/>
            <w:bookmarkStart w:id="124" w:name="_Toc471142626"/>
            <w:r>
              <w:rPr>
                <w:rFonts w:hint="eastAsia"/>
                <w:sz w:val="18"/>
                <w:szCs w:val="18"/>
              </w:rPr>
              <w:t>从梯子上下来时向下可以看到下一级梯子踏板外缘；</w:t>
            </w:r>
            <w:bookmarkEnd w:id="123"/>
            <w:bookmarkEnd w:id="124"/>
          </w:p>
          <w:p>
            <w:pPr>
              <w:pStyle w:val="66"/>
              <w:widowControl w:val="0"/>
              <w:spacing w:line="260" w:lineRule="exact"/>
              <w:ind w:firstLine="360"/>
              <w:contextualSpacing/>
              <w:rPr>
                <w:sz w:val="18"/>
                <w:szCs w:val="18"/>
              </w:rPr>
            </w:pPr>
            <w:bookmarkStart w:id="125" w:name="_Toc471142471"/>
            <w:bookmarkStart w:id="126" w:name="_Toc471142627"/>
            <w:r>
              <w:rPr>
                <w:rFonts w:hint="eastAsia"/>
                <w:sz w:val="18"/>
                <w:szCs w:val="18"/>
              </w:rPr>
              <w:t>b）梯子向上或向下移动时，不应造成挤压和冲击操作者现象；</w:t>
            </w:r>
            <w:bookmarkEnd w:id="125"/>
            <w:bookmarkEnd w:id="126"/>
            <w:bookmarkStart w:id="127" w:name="_Toc471142472"/>
            <w:bookmarkStart w:id="128" w:name="_Toc471142628"/>
          </w:p>
          <w:p>
            <w:pPr>
              <w:pStyle w:val="66"/>
              <w:widowControl w:val="0"/>
              <w:spacing w:line="260" w:lineRule="exact"/>
              <w:ind w:firstLine="360"/>
              <w:contextualSpacing/>
              <w:rPr>
                <w:sz w:val="18"/>
                <w:szCs w:val="18"/>
              </w:rPr>
            </w:pPr>
            <w:r>
              <w:rPr>
                <w:rFonts w:hint="eastAsia"/>
                <w:sz w:val="18"/>
                <w:szCs w:val="18"/>
              </w:rPr>
              <w:t>c）驾驶台、接粮台地板应有防滑和排水措施；</w:t>
            </w:r>
            <w:bookmarkEnd w:id="127"/>
            <w:bookmarkEnd w:id="128"/>
          </w:p>
          <w:p>
            <w:pPr>
              <w:pStyle w:val="66"/>
              <w:widowControl w:val="0"/>
              <w:spacing w:line="260" w:lineRule="exact"/>
              <w:ind w:firstLine="360"/>
              <w:contextualSpacing/>
              <w:rPr>
                <w:sz w:val="18"/>
                <w:szCs w:val="18"/>
              </w:rPr>
            </w:pPr>
            <w:bookmarkStart w:id="129" w:name="_Toc471142473"/>
            <w:bookmarkStart w:id="130" w:name="_Toc471142629"/>
            <w:r>
              <w:rPr>
                <w:rFonts w:hint="eastAsia"/>
                <w:sz w:val="18"/>
                <w:szCs w:val="18"/>
              </w:rPr>
              <w:t>d）脚踏板宽度≥</w:t>
            </w:r>
            <w:r>
              <w:rPr>
                <w:sz w:val="18"/>
                <w:szCs w:val="18"/>
              </w:rPr>
              <w:t>200 mm</w:t>
            </w:r>
            <w:r>
              <w:rPr>
                <w:rFonts w:hint="eastAsia"/>
                <w:sz w:val="18"/>
                <w:szCs w:val="18"/>
              </w:rPr>
              <w:t>，脚踏板深度≥</w:t>
            </w:r>
            <w:r>
              <w:rPr>
                <w:sz w:val="18"/>
                <w:szCs w:val="18"/>
              </w:rPr>
              <w:t>150 mm</w:t>
            </w:r>
            <w:r>
              <w:rPr>
                <w:rFonts w:hint="eastAsia"/>
                <w:sz w:val="18"/>
                <w:szCs w:val="18"/>
              </w:rPr>
              <w:t>；</w:t>
            </w:r>
            <w:bookmarkEnd w:id="129"/>
            <w:bookmarkEnd w:id="130"/>
            <w:bookmarkStart w:id="131" w:name="_Toc471142474"/>
            <w:bookmarkStart w:id="132" w:name="_Toc471142630"/>
          </w:p>
          <w:p>
            <w:pPr>
              <w:pStyle w:val="66"/>
              <w:widowControl w:val="0"/>
              <w:spacing w:line="260" w:lineRule="exact"/>
              <w:ind w:firstLine="360"/>
              <w:contextualSpacing/>
              <w:rPr>
                <w:sz w:val="18"/>
                <w:szCs w:val="18"/>
              </w:rPr>
            </w:pPr>
            <w:r>
              <w:rPr>
                <w:rFonts w:hint="eastAsia"/>
                <w:sz w:val="18"/>
                <w:szCs w:val="18"/>
              </w:rPr>
              <w:t>e）脚踏板阶梯间隔≤</w:t>
            </w:r>
            <w:r>
              <w:rPr>
                <w:sz w:val="18"/>
                <w:szCs w:val="18"/>
              </w:rPr>
              <w:t>300 mm</w:t>
            </w:r>
            <w:r>
              <w:rPr>
                <w:rFonts w:hint="eastAsia"/>
                <w:sz w:val="18"/>
                <w:szCs w:val="18"/>
              </w:rPr>
              <w:t>（单级梯子的踏板间隔≤</w:t>
            </w:r>
            <w:r>
              <w:rPr>
                <w:sz w:val="18"/>
                <w:szCs w:val="18"/>
              </w:rPr>
              <w:t>350 mm</w:t>
            </w:r>
            <w:r>
              <w:rPr>
                <w:rFonts w:hint="eastAsia"/>
                <w:sz w:val="18"/>
                <w:szCs w:val="18"/>
              </w:rPr>
              <w:t>）；</w:t>
            </w:r>
            <w:bookmarkEnd w:id="131"/>
            <w:bookmarkEnd w:id="132"/>
          </w:p>
          <w:p>
            <w:pPr>
              <w:pStyle w:val="66"/>
              <w:widowControl w:val="0"/>
              <w:spacing w:line="260" w:lineRule="exact"/>
              <w:ind w:firstLine="360"/>
              <w:contextualSpacing/>
              <w:rPr>
                <w:sz w:val="18"/>
                <w:szCs w:val="18"/>
              </w:rPr>
            </w:pPr>
            <w:bookmarkStart w:id="133" w:name="_Toc471142475"/>
            <w:bookmarkStart w:id="134" w:name="_Toc471142631"/>
            <w:r>
              <w:rPr>
                <w:rFonts w:hint="eastAsia"/>
                <w:sz w:val="18"/>
                <w:szCs w:val="18"/>
              </w:rPr>
              <w:t>f）最低一级踏板表面离地高度≤</w:t>
            </w:r>
            <w:r>
              <w:rPr>
                <w:sz w:val="18"/>
                <w:szCs w:val="18"/>
              </w:rPr>
              <w:t>550 mm</w:t>
            </w:r>
            <w:r>
              <w:rPr>
                <w:rFonts w:hint="eastAsia"/>
                <w:sz w:val="18"/>
                <w:szCs w:val="18"/>
              </w:rPr>
              <w:t>，特殊情况下，离地高度可以为</w:t>
            </w:r>
            <w:r>
              <w:rPr>
                <w:sz w:val="18"/>
                <w:szCs w:val="18"/>
              </w:rPr>
              <w:t>700 mm</w:t>
            </w:r>
            <w:r>
              <w:rPr>
                <w:rFonts w:hint="eastAsia"/>
                <w:sz w:val="18"/>
                <w:szCs w:val="18"/>
              </w:rPr>
              <w:t>。</w:t>
            </w:r>
            <w:bookmarkEnd w:id="133"/>
            <w:bookmarkEnd w:id="134"/>
          </w:p>
        </w:tc>
        <w:tc>
          <w:tcPr>
            <w:tcW w:w="850" w:type="dxa"/>
            <w:vAlign w:val="center"/>
          </w:tcPr>
          <w:p>
            <w:pPr>
              <w:pStyle w:val="66"/>
              <w:widowControl w:val="0"/>
              <w:ind w:firstLine="0" w:firstLineChars="0"/>
              <w:jc w:val="center"/>
              <w:rPr>
                <w:sz w:val="18"/>
                <w:szCs w:val="18"/>
              </w:rPr>
            </w:pPr>
            <w:r>
              <w:rPr>
                <w:rFonts w:hint="eastAsia" w:hAnsi="宋体"/>
                <w:sz w:val="18"/>
                <w:szCs w:val="18"/>
              </w:rPr>
              <w:t>√</w:t>
            </w:r>
          </w:p>
        </w:tc>
        <w:tc>
          <w:tcPr>
            <w:tcW w:w="958" w:type="dxa"/>
            <w:vAlign w:val="center"/>
          </w:tcPr>
          <w:p>
            <w:pPr>
              <w:pStyle w:val="66"/>
              <w:widowControl w:val="0"/>
              <w:ind w:firstLine="0" w:firstLineChars="0"/>
              <w:jc w:val="center"/>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防护栏</w:t>
            </w:r>
            <w:r>
              <w:rPr>
                <w:rFonts w:hint="eastAsia" w:asciiTheme="minorEastAsia" w:hAnsiTheme="minorEastAsia" w:eastAsiaTheme="minorEastAsia"/>
                <w:sz w:val="18"/>
                <w:szCs w:val="18"/>
              </w:rPr>
              <w:t>、</w:t>
            </w:r>
            <w:r>
              <w:rPr>
                <w:rFonts w:asciiTheme="minorEastAsia" w:hAnsiTheme="minorEastAsia" w:eastAsiaTheme="minorEastAsia"/>
                <w:sz w:val="18"/>
                <w:szCs w:val="18"/>
              </w:rPr>
              <w:t>扶手</w:t>
            </w:r>
            <w:r>
              <w:rPr>
                <w:rFonts w:hint="eastAsia" w:asciiTheme="minorEastAsia" w:hAnsiTheme="minorEastAsia" w:eastAsiaTheme="minorEastAsia"/>
                <w:sz w:val="18"/>
                <w:szCs w:val="18"/>
              </w:rPr>
              <w:t>/扶栏或抓手</w:t>
            </w:r>
          </w:p>
        </w:tc>
        <w:tc>
          <w:tcPr>
            <w:tcW w:w="5245" w:type="dxa"/>
            <w:vAlign w:val="center"/>
          </w:tcPr>
          <w:p>
            <w:pPr>
              <w:pStyle w:val="121"/>
              <w:widowControl w:val="0"/>
              <w:tabs>
                <w:tab w:val="left" w:pos="840"/>
              </w:tabs>
              <w:spacing w:line="260" w:lineRule="exact"/>
              <w:ind w:left="0" w:leftChars="0" w:firstLine="360" w:firstLineChars="200"/>
              <w:contextualSpacing/>
              <w:jc w:val="left"/>
              <w:rPr>
                <w:sz w:val="18"/>
                <w:szCs w:val="18"/>
              </w:rPr>
            </w:pPr>
            <w:bookmarkStart w:id="135" w:name="_Toc471142476"/>
            <w:bookmarkStart w:id="136" w:name="_Toc471142632"/>
            <w:r>
              <w:rPr>
                <w:rFonts w:hint="eastAsia"/>
                <w:sz w:val="18"/>
                <w:szCs w:val="18"/>
              </w:rPr>
              <w:t>a）所有工作台各边都应设有高出工作台</w:t>
            </w:r>
            <w:r>
              <w:rPr>
                <w:sz w:val="18"/>
                <w:szCs w:val="18"/>
              </w:rPr>
              <w:t>1000 mm</w:t>
            </w:r>
            <w:r>
              <w:rPr>
                <w:rFonts w:hint="eastAsia"/>
                <w:sz w:val="18"/>
                <w:szCs w:val="18"/>
              </w:rPr>
              <w:t>的防护栏，防护栏的扶手与工作台之间至少应有一根横杆；</w:t>
            </w:r>
            <w:bookmarkEnd w:id="135"/>
            <w:bookmarkEnd w:id="136"/>
          </w:p>
          <w:p>
            <w:pPr>
              <w:pStyle w:val="121"/>
              <w:widowControl w:val="0"/>
              <w:tabs>
                <w:tab w:val="left" w:pos="840"/>
              </w:tabs>
              <w:spacing w:line="260" w:lineRule="exact"/>
              <w:ind w:left="0" w:leftChars="0" w:firstLine="360" w:firstLineChars="200"/>
              <w:contextualSpacing/>
              <w:rPr>
                <w:sz w:val="18"/>
                <w:szCs w:val="18"/>
              </w:rPr>
            </w:pPr>
            <w:bookmarkStart w:id="137" w:name="_Toc471142477"/>
            <w:bookmarkStart w:id="138" w:name="_Toc471142633"/>
            <w:r>
              <w:rPr>
                <w:rFonts w:hint="eastAsia"/>
                <w:sz w:val="18"/>
                <w:szCs w:val="18"/>
              </w:rPr>
              <w:t>b）门道梯子两侧应设置扶手或扶栏，以使操作者与梯子始终保持三处接触；</w:t>
            </w:r>
            <w:bookmarkEnd w:id="137"/>
            <w:bookmarkEnd w:id="138"/>
          </w:p>
          <w:p>
            <w:pPr>
              <w:pStyle w:val="121"/>
              <w:widowControl w:val="0"/>
              <w:tabs>
                <w:tab w:val="left" w:pos="840"/>
              </w:tabs>
              <w:spacing w:line="260" w:lineRule="exact"/>
              <w:ind w:left="0" w:leftChars="0" w:firstLine="360" w:firstLineChars="200"/>
              <w:contextualSpacing/>
              <w:rPr>
                <w:sz w:val="18"/>
                <w:szCs w:val="18"/>
              </w:rPr>
            </w:pPr>
            <w:bookmarkStart w:id="139" w:name="_Toc471142478"/>
            <w:bookmarkStart w:id="140" w:name="_Toc471142634"/>
            <w:r>
              <w:rPr>
                <w:rFonts w:hint="eastAsia"/>
                <w:sz w:val="18"/>
                <w:szCs w:val="18"/>
              </w:rPr>
              <w:t>c）扶手</w:t>
            </w:r>
            <w:r>
              <w:rPr>
                <w:sz w:val="18"/>
                <w:szCs w:val="18"/>
              </w:rPr>
              <w:t>/</w:t>
            </w:r>
            <w:r>
              <w:rPr>
                <w:rFonts w:hint="eastAsia"/>
                <w:sz w:val="18"/>
                <w:szCs w:val="18"/>
              </w:rPr>
              <w:t>扶栏的横截面尺寸</w:t>
            </w:r>
            <w:r>
              <w:rPr>
                <w:sz w:val="18"/>
                <w:szCs w:val="18"/>
              </w:rPr>
              <w:t>25 mm</w:t>
            </w:r>
            <w:r>
              <w:rPr>
                <w:rFonts w:hint="eastAsia"/>
                <w:sz w:val="18"/>
                <w:szCs w:val="18"/>
              </w:rPr>
              <w:t>～</w:t>
            </w:r>
            <w:r>
              <w:rPr>
                <w:sz w:val="18"/>
                <w:szCs w:val="18"/>
              </w:rPr>
              <w:t>35 mm</w:t>
            </w:r>
            <w:r>
              <w:rPr>
                <w:rFonts w:hint="eastAsia"/>
                <w:sz w:val="18"/>
                <w:szCs w:val="18"/>
              </w:rPr>
              <w:t>；</w:t>
            </w:r>
            <w:bookmarkEnd w:id="139"/>
            <w:bookmarkEnd w:id="140"/>
            <w:bookmarkStart w:id="141" w:name="_Toc471142479"/>
            <w:bookmarkStart w:id="142" w:name="_Toc471142635"/>
          </w:p>
          <w:p>
            <w:pPr>
              <w:pStyle w:val="121"/>
              <w:widowControl w:val="0"/>
              <w:tabs>
                <w:tab w:val="left" w:pos="840"/>
              </w:tabs>
              <w:spacing w:line="260" w:lineRule="exact"/>
              <w:ind w:left="0" w:leftChars="0" w:firstLine="360" w:firstLineChars="200"/>
              <w:contextualSpacing/>
              <w:rPr>
                <w:sz w:val="18"/>
                <w:szCs w:val="18"/>
              </w:rPr>
            </w:pPr>
            <w:r>
              <w:rPr>
                <w:rFonts w:hint="eastAsia"/>
                <w:sz w:val="18"/>
                <w:szCs w:val="18"/>
              </w:rPr>
              <w:t>d）扶手</w:t>
            </w:r>
            <w:r>
              <w:rPr>
                <w:sz w:val="18"/>
                <w:szCs w:val="18"/>
              </w:rPr>
              <w:t>/</w:t>
            </w:r>
            <w:r>
              <w:rPr>
                <w:rFonts w:hint="eastAsia"/>
                <w:sz w:val="18"/>
                <w:szCs w:val="18"/>
              </w:rPr>
              <w:t>扶栏的较低端离地高度≤</w:t>
            </w:r>
            <w:r>
              <w:rPr>
                <w:sz w:val="18"/>
                <w:szCs w:val="18"/>
              </w:rPr>
              <w:t>1600 mm</w:t>
            </w:r>
            <w:r>
              <w:rPr>
                <w:rFonts w:hint="eastAsia"/>
                <w:sz w:val="18"/>
                <w:szCs w:val="18"/>
              </w:rPr>
              <w:t>；</w:t>
            </w:r>
            <w:bookmarkEnd w:id="141"/>
            <w:bookmarkEnd w:id="142"/>
          </w:p>
          <w:p>
            <w:pPr>
              <w:pStyle w:val="121"/>
              <w:widowControl w:val="0"/>
              <w:tabs>
                <w:tab w:val="left" w:pos="840"/>
              </w:tabs>
              <w:spacing w:line="260" w:lineRule="exact"/>
              <w:ind w:left="0" w:leftChars="0" w:firstLine="360" w:firstLineChars="200"/>
              <w:contextualSpacing/>
              <w:rPr>
                <w:sz w:val="18"/>
                <w:szCs w:val="18"/>
              </w:rPr>
            </w:pPr>
            <w:bookmarkStart w:id="143" w:name="_Toc471142480"/>
            <w:bookmarkStart w:id="144" w:name="_Toc471142636"/>
            <w:r>
              <w:rPr>
                <w:rFonts w:hint="eastAsia"/>
                <w:sz w:val="18"/>
                <w:szCs w:val="18"/>
              </w:rPr>
              <w:t>e）扶手</w:t>
            </w:r>
            <w:r>
              <w:rPr>
                <w:sz w:val="18"/>
                <w:szCs w:val="18"/>
              </w:rPr>
              <w:t>/</w:t>
            </w:r>
            <w:r>
              <w:rPr>
                <w:rFonts w:hint="eastAsia"/>
                <w:sz w:val="18"/>
                <w:szCs w:val="18"/>
              </w:rPr>
              <w:t>扶栏的后侧的放手间隙≥</w:t>
            </w:r>
            <w:r>
              <w:rPr>
                <w:sz w:val="18"/>
                <w:szCs w:val="18"/>
              </w:rPr>
              <w:t>50 mm</w:t>
            </w:r>
            <w:r>
              <w:rPr>
                <w:rFonts w:hint="eastAsia"/>
                <w:sz w:val="18"/>
                <w:szCs w:val="18"/>
              </w:rPr>
              <w:t>；</w:t>
            </w:r>
            <w:bookmarkEnd w:id="143"/>
            <w:bookmarkEnd w:id="144"/>
            <w:bookmarkStart w:id="145" w:name="_Toc471142481"/>
            <w:bookmarkStart w:id="146" w:name="_Toc471142637"/>
          </w:p>
          <w:p>
            <w:pPr>
              <w:pStyle w:val="121"/>
              <w:widowControl w:val="0"/>
              <w:tabs>
                <w:tab w:val="left" w:pos="840"/>
              </w:tabs>
              <w:spacing w:line="260" w:lineRule="exact"/>
              <w:ind w:left="0" w:leftChars="0" w:firstLine="360" w:firstLineChars="200"/>
              <w:contextualSpacing/>
              <w:rPr>
                <w:sz w:val="18"/>
                <w:szCs w:val="18"/>
              </w:rPr>
            </w:pPr>
            <w:r>
              <w:rPr>
                <w:rFonts w:hint="eastAsia"/>
                <w:sz w:val="18"/>
                <w:szCs w:val="18"/>
              </w:rPr>
              <w:t>f）抓手距梯子较高级踏板高度≤</w:t>
            </w:r>
            <w:r>
              <w:rPr>
                <w:sz w:val="18"/>
                <w:szCs w:val="18"/>
              </w:rPr>
              <w:t>1000 mm</w:t>
            </w:r>
            <w:r>
              <w:rPr>
                <w:rFonts w:hint="eastAsia"/>
                <w:sz w:val="18"/>
                <w:szCs w:val="18"/>
              </w:rPr>
              <w:t>；</w:t>
            </w:r>
            <w:bookmarkEnd w:id="145"/>
            <w:bookmarkEnd w:id="146"/>
          </w:p>
          <w:p>
            <w:pPr>
              <w:pStyle w:val="121"/>
              <w:widowControl w:val="0"/>
              <w:tabs>
                <w:tab w:val="left" w:pos="840"/>
              </w:tabs>
              <w:spacing w:line="260" w:lineRule="exact"/>
              <w:ind w:left="0" w:leftChars="0" w:firstLine="360" w:firstLineChars="200"/>
              <w:contextualSpacing/>
              <w:rPr>
                <w:sz w:val="18"/>
                <w:szCs w:val="18"/>
              </w:rPr>
            </w:pPr>
            <w:bookmarkStart w:id="147" w:name="_Toc471142482"/>
            <w:bookmarkStart w:id="148" w:name="_Toc471142638"/>
            <w:r>
              <w:rPr>
                <w:rFonts w:hint="eastAsia"/>
                <w:sz w:val="18"/>
                <w:szCs w:val="18"/>
              </w:rPr>
              <w:t>g）扶栏长度≥</w:t>
            </w:r>
            <w:r>
              <w:rPr>
                <w:sz w:val="18"/>
                <w:szCs w:val="18"/>
              </w:rPr>
              <w:t>150 mm</w:t>
            </w:r>
            <w:r>
              <w:rPr>
                <w:rFonts w:hint="eastAsia"/>
                <w:sz w:val="18"/>
                <w:szCs w:val="18"/>
              </w:rPr>
              <w:t>。</w:t>
            </w:r>
            <w:bookmarkEnd w:id="147"/>
            <w:bookmarkEnd w:id="148"/>
          </w:p>
        </w:tc>
        <w:tc>
          <w:tcPr>
            <w:tcW w:w="850" w:type="dxa"/>
            <w:vAlign w:val="center"/>
          </w:tcPr>
          <w:p>
            <w:pPr>
              <w:pStyle w:val="121"/>
              <w:widowControl w:val="0"/>
              <w:tabs>
                <w:tab w:val="left" w:pos="840"/>
              </w:tabs>
              <w:ind w:left="419" w:leftChars="0" w:hanging="419" w:hangingChars="233"/>
              <w:jc w:val="center"/>
              <w:rPr>
                <w:sz w:val="18"/>
                <w:szCs w:val="18"/>
              </w:rPr>
            </w:pPr>
            <w:r>
              <w:rPr>
                <w:rFonts w:hint="eastAsia" w:hAnsi="宋体"/>
                <w:sz w:val="18"/>
                <w:szCs w:val="18"/>
              </w:rPr>
              <w:t>√</w:t>
            </w:r>
          </w:p>
        </w:tc>
        <w:tc>
          <w:tcPr>
            <w:tcW w:w="958" w:type="dxa"/>
            <w:vAlign w:val="center"/>
          </w:tcPr>
          <w:p>
            <w:pPr>
              <w:pStyle w:val="121"/>
              <w:widowControl w:val="0"/>
              <w:tabs>
                <w:tab w:val="left" w:pos="840"/>
              </w:tabs>
              <w:ind w:left="419" w:leftChars="0" w:hanging="419" w:hangingChars="233"/>
              <w:jc w:val="center"/>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机构的分离和清理</w:t>
            </w:r>
          </w:p>
        </w:tc>
        <w:tc>
          <w:tcPr>
            <w:tcW w:w="5245" w:type="dxa"/>
            <w:vAlign w:val="center"/>
          </w:tcPr>
          <w:p>
            <w:pPr>
              <w:pStyle w:val="66"/>
              <w:widowControl w:val="0"/>
              <w:spacing w:line="260" w:lineRule="exact"/>
              <w:ind w:firstLine="360"/>
              <w:contextualSpacing/>
              <w:rPr>
                <w:sz w:val="18"/>
                <w:szCs w:val="18"/>
              </w:rPr>
            </w:pPr>
            <w:bookmarkStart w:id="149" w:name="_Toc471142639"/>
            <w:bookmarkStart w:id="150" w:name="_Toc471142483"/>
            <w:r>
              <w:rPr>
                <w:rFonts w:hint="eastAsia"/>
                <w:sz w:val="18"/>
                <w:szCs w:val="18"/>
              </w:rPr>
              <w:t>维修和保养期间，意外移动会产生潜在挤压和剪切运动的机构，应留有适当间隙或进行防护或设置挡板。如果须人工转动脱粒机构时，要使用特殊工具，该工具应随机器提供，并在使用说明书中给出该工具的使用方法。</w:t>
            </w:r>
            <w:bookmarkEnd w:id="149"/>
            <w:bookmarkEnd w:id="150"/>
          </w:p>
        </w:tc>
        <w:tc>
          <w:tcPr>
            <w:tcW w:w="850" w:type="dxa"/>
            <w:vAlign w:val="center"/>
          </w:tcPr>
          <w:p>
            <w:pPr>
              <w:pStyle w:val="66"/>
              <w:widowControl w:val="0"/>
              <w:ind w:firstLine="0" w:firstLineChars="0"/>
              <w:jc w:val="center"/>
              <w:rPr>
                <w:sz w:val="18"/>
                <w:szCs w:val="18"/>
              </w:rPr>
            </w:pPr>
            <w:r>
              <w:rPr>
                <w:rFonts w:hint="eastAsia" w:hAnsi="宋体"/>
                <w:sz w:val="18"/>
                <w:szCs w:val="18"/>
              </w:rPr>
              <w:t>√</w:t>
            </w:r>
          </w:p>
        </w:tc>
        <w:tc>
          <w:tcPr>
            <w:tcW w:w="958" w:type="dxa"/>
            <w:vAlign w:val="center"/>
          </w:tcPr>
          <w:p>
            <w:pPr>
              <w:pStyle w:val="66"/>
              <w:widowControl w:val="0"/>
              <w:ind w:firstLine="0" w:firstLineChars="0"/>
              <w:jc w:val="center"/>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割台固定机构</w:t>
            </w:r>
          </w:p>
        </w:tc>
        <w:tc>
          <w:tcPr>
            <w:tcW w:w="5245" w:type="dxa"/>
            <w:vAlign w:val="center"/>
          </w:tcPr>
          <w:p>
            <w:pPr>
              <w:pStyle w:val="66"/>
              <w:widowControl w:val="0"/>
              <w:spacing w:line="260" w:lineRule="exact"/>
              <w:ind w:firstLine="360"/>
              <w:contextualSpacing/>
              <w:rPr>
                <w:sz w:val="18"/>
                <w:szCs w:val="18"/>
              </w:rPr>
            </w:pPr>
            <w:bookmarkStart w:id="151" w:name="_Toc471142484"/>
            <w:bookmarkStart w:id="152" w:name="_Toc471142640"/>
            <w:r>
              <w:rPr>
                <w:rFonts w:hint="eastAsia"/>
                <w:sz w:val="18"/>
                <w:szCs w:val="18"/>
              </w:rPr>
              <w:t>机器应设置将割台保持在提起位置的机械装置，使用说明书中给出该装置的使用方法。发动机熄火后，液压控制机构应保持割台不降落。</w:t>
            </w:r>
            <w:bookmarkEnd w:id="151"/>
            <w:bookmarkEnd w:id="152"/>
          </w:p>
        </w:tc>
        <w:tc>
          <w:tcPr>
            <w:tcW w:w="850" w:type="dxa"/>
            <w:vAlign w:val="center"/>
          </w:tcPr>
          <w:p>
            <w:pPr>
              <w:pStyle w:val="66"/>
              <w:widowControl w:val="0"/>
              <w:ind w:firstLine="0" w:firstLineChars="0"/>
              <w:jc w:val="center"/>
              <w:rPr>
                <w:sz w:val="18"/>
                <w:szCs w:val="18"/>
              </w:rPr>
            </w:pPr>
            <w:r>
              <w:rPr>
                <w:rFonts w:hint="eastAsia" w:hAnsi="宋体"/>
                <w:sz w:val="18"/>
                <w:szCs w:val="18"/>
              </w:rPr>
              <w:t>√</w:t>
            </w:r>
          </w:p>
        </w:tc>
        <w:tc>
          <w:tcPr>
            <w:tcW w:w="958" w:type="dxa"/>
            <w:vAlign w:val="center"/>
          </w:tcPr>
          <w:p>
            <w:pPr>
              <w:pStyle w:val="66"/>
              <w:widowControl w:val="0"/>
              <w:ind w:firstLine="0" w:firstLineChars="0"/>
              <w:jc w:val="center"/>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籽粒</w:t>
            </w:r>
            <w:r>
              <w:rPr>
                <w:rFonts w:hint="eastAsia" w:asciiTheme="minorEastAsia" w:hAnsiTheme="minorEastAsia" w:eastAsiaTheme="minorEastAsia"/>
                <w:sz w:val="18"/>
                <w:szCs w:val="18"/>
              </w:rPr>
              <w:t>（籽盘、葵盘）箱</w:t>
            </w:r>
          </w:p>
        </w:tc>
        <w:tc>
          <w:tcPr>
            <w:tcW w:w="5245" w:type="dxa"/>
            <w:vAlign w:val="center"/>
          </w:tcPr>
          <w:p>
            <w:pPr>
              <w:pStyle w:val="66"/>
              <w:widowControl w:val="0"/>
              <w:spacing w:line="260" w:lineRule="exact"/>
              <w:ind w:firstLine="360"/>
              <w:contextualSpacing/>
              <w:rPr>
                <w:sz w:val="18"/>
                <w:szCs w:val="18"/>
              </w:rPr>
            </w:pPr>
            <w:bookmarkStart w:id="153" w:name="_Toc471142485"/>
            <w:bookmarkStart w:id="154" w:name="_Toc471142641"/>
            <w:r>
              <w:rPr>
                <w:rFonts w:hint="eastAsia"/>
                <w:sz w:val="18"/>
                <w:szCs w:val="18"/>
              </w:rPr>
              <w:t>根据安全需要，在籽粒（籽盘、葵盘）箱外面设置安全检查用的阶梯和扶栏；使用说明书中和机器上，应分别给出适当的警示事项和安全标志，指出在机器运转时任何人不得进入籽粒（籽盘、葵盘）箱。</w:t>
            </w:r>
            <w:bookmarkEnd w:id="153"/>
            <w:bookmarkEnd w:id="154"/>
          </w:p>
        </w:tc>
        <w:tc>
          <w:tcPr>
            <w:tcW w:w="850" w:type="dxa"/>
            <w:vAlign w:val="center"/>
          </w:tcPr>
          <w:p>
            <w:pPr>
              <w:pStyle w:val="66"/>
              <w:widowControl w:val="0"/>
              <w:ind w:firstLine="0" w:firstLineChars="0"/>
              <w:jc w:val="center"/>
              <w:rPr>
                <w:sz w:val="18"/>
                <w:szCs w:val="18"/>
              </w:rPr>
            </w:pPr>
            <w:r>
              <w:rPr>
                <w:rFonts w:hint="eastAsia" w:hAnsi="宋体"/>
                <w:sz w:val="18"/>
                <w:szCs w:val="18"/>
              </w:rPr>
              <w:t>√</w:t>
            </w:r>
          </w:p>
        </w:tc>
        <w:tc>
          <w:tcPr>
            <w:tcW w:w="958" w:type="dxa"/>
            <w:vAlign w:val="center"/>
          </w:tcPr>
          <w:p>
            <w:pPr>
              <w:pStyle w:val="66"/>
              <w:widowControl w:val="0"/>
              <w:ind w:firstLine="0" w:firstLineChars="0"/>
              <w:jc w:val="center"/>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螺旋输送器</w:t>
            </w:r>
          </w:p>
        </w:tc>
        <w:tc>
          <w:tcPr>
            <w:tcW w:w="5245" w:type="dxa"/>
            <w:vAlign w:val="center"/>
          </w:tcPr>
          <w:p>
            <w:pPr>
              <w:pStyle w:val="66"/>
              <w:widowControl w:val="0"/>
              <w:spacing w:line="260" w:lineRule="exact"/>
              <w:ind w:firstLine="360"/>
              <w:contextualSpacing/>
              <w:rPr>
                <w:sz w:val="18"/>
                <w:szCs w:val="18"/>
              </w:rPr>
            </w:pPr>
            <w:bookmarkStart w:id="155" w:name="_Toc471142486"/>
            <w:bookmarkStart w:id="156" w:name="_Toc471142642"/>
            <w:r>
              <w:rPr>
                <w:rFonts w:hint="eastAsia"/>
                <w:sz w:val="18"/>
                <w:szCs w:val="18"/>
              </w:rPr>
              <w:t>所有螺旋输送器应配置防护装置，防止与其意外接触。籽粒仓盖不应作为安全装置，除非粮箱盖打开时，由连锁装置使螺旋输送器停止运转。使用固定牢固的挡板作为防护装置的，挡板应能防止操作者意外地接触机器，安全距离符合</w:t>
            </w:r>
            <w:r>
              <w:rPr>
                <w:sz w:val="18"/>
                <w:szCs w:val="18"/>
              </w:rPr>
              <w:t>GB 10395.1-200</w:t>
            </w:r>
            <w:r>
              <w:rPr>
                <w:rFonts w:hint="eastAsia"/>
                <w:sz w:val="18"/>
                <w:szCs w:val="18"/>
              </w:rPr>
              <w:t>9的要求；挡板上可以有最大</w:t>
            </w:r>
            <w:r>
              <w:rPr>
                <w:sz w:val="18"/>
                <w:szCs w:val="18"/>
              </w:rPr>
              <w:t>80 mm</w:t>
            </w:r>
            <w:r>
              <w:rPr>
                <w:rFonts w:hint="eastAsia"/>
                <w:sz w:val="18"/>
                <w:szCs w:val="18"/>
              </w:rPr>
              <w:t>×</w:t>
            </w:r>
            <w:r>
              <w:rPr>
                <w:sz w:val="18"/>
                <w:szCs w:val="18"/>
              </w:rPr>
              <w:t>80 mm</w:t>
            </w:r>
            <w:r>
              <w:rPr>
                <w:rFonts w:hint="eastAsia"/>
                <w:sz w:val="18"/>
                <w:szCs w:val="18"/>
              </w:rPr>
              <w:t>开口，在直接申及区内，开口与螺旋输送器外缘间隔至少</w:t>
            </w:r>
            <w:r>
              <w:rPr>
                <w:sz w:val="18"/>
                <w:szCs w:val="18"/>
              </w:rPr>
              <w:t>100 mm</w:t>
            </w:r>
            <w:r>
              <w:rPr>
                <w:rFonts w:hint="eastAsia"/>
                <w:sz w:val="18"/>
                <w:szCs w:val="18"/>
              </w:rPr>
              <w:t>，在其他触及区内，间隔至少</w:t>
            </w:r>
            <w:r>
              <w:rPr>
                <w:sz w:val="18"/>
                <w:szCs w:val="18"/>
              </w:rPr>
              <w:t>50 mm</w:t>
            </w:r>
            <w:r>
              <w:rPr>
                <w:rFonts w:hint="eastAsia"/>
                <w:sz w:val="18"/>
                <w:szCs w:val="18"/>
              </w:rPr>
              <w:t>。</w:t>
            </w:r>
            <w:bookmarkEnd w:id="155"/>
            <w:bookmarkEnd w:id="156"/>
          </w:p>
        </w:tc>
        <w:tc>
          <w:tcPr>
            <w:tcW w:w="850" w:type="dxa"/>
            <w:vAlign w:val="center"/>
          </w:tcPr>
          <w:p>
            <w:pPr>
              <w:pStyle w:val="66"/>
              <w:widowControl w:val="0"/>
              <w:ind w:firstLine="0" w:firstLineChars="0"/>
              <w:jc w:val="center"/>
              <w:rPr>
                <w:sz w:val="18"/>
                <w:szCs w:val="18"/>
              </w:rPr>
            </w:pPr>
            <w:r>
              <w:rPr>
                <w:rFonts w:hint="eastAsia" w:hAnsi="宋体"/>
                <w:sz w:val="18"/>
                <w:szCs w:val="18"/>
              </w:rPr>
              <w:t>√</w:t>
            </w:r>
          </w:p>
        </w:tc>
        <w:tc>
          <w:tcPr>
            <w:tcW w:w="958" w:type="dxa"/>
            <w:vAlign w:val="center"/>
          </w:tcPr>
          <w:p>
            <w:pPr>
              <w:pStyle w:val="66"/>
              <w:widowControl w:val="0"/>
              <w:ind w:firstLine="0" w:firstLineChars="0"/>
              <w:jc w:val="center"/>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710"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67"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驾驶室</w:t>
            </w:r>
          </w:p>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紧急出口</w:t>
            </w:r>
          </w:p>
        </w:tc>
        <w:tc>
          <w:tcPr>
            <w:tcW w:w="5245" w:type="dxa"/>
            <w:vAlign w:val="center"/>
          </w:tcPr>
          <w:p>
            <w:pPr>
              <w:pStyle w:val="66"/>
              <w:widowControl w:val="0"/>
              <w:spacing w:line="260" w:lineRule="exact"/>
              <w:ind w:firstLine="360"/>
              <w:contextualSpacing/>
              <w:rPr>
                <w:sz w:val="18"/>
                <w:szCs w:val="18"/>
              </w:rPr>
            </w:pPr>
            <w:bookmarkStart w:id="157" w:name="_Toc471142644"/>
            <w:bookmarkStart w:id="158" w:name="_Toc471142488"/>
            <w:r>
              <w:rPr>
                <w:rFonts w:hint="eastAsia"/>
                <w:sz w:val="18"/>
                <w:szCs w:val="18"/>
              </w:rPr>
              <w:t>驾驶室在不同面应有两个活动的紧急出口，紧急出口在驾驶室内不使用工具应容易打开，其横截面至少能包含一个长轴为</w:t>
            </w:r>
            <w:r>
              <w:rPr>
                <w:sz w:val="18"/>
                <w:szCs w:val="18"/>
              </w:rPr>
              <w:t>640 mm</w:t>
            </w:r>
            <w:r>
              <w:rPr>
                <w:rFonts w:hint="eastAsia"/>
                <w:sz w:val="18"/>
                <w:szCs w:val="18"/>
              </w:rPr>
              <w:t>、短轴为</w:t>
            </w:r>
            <w:r>
              <w:rPr>
                <w:sz w:val="18"/>
                <w:szCs w:val="18"/>
              </w:rPr>
              <w:t>440 mm</w:t>
            </w:r>
            <w:r>
              <w:rPr>
                <w:rFonts w:hint="eastAsia"/>
                <w:sz w:val="18"/>
                <w:szCs w:val="18"/>
              </w:rPr>
              <w:t>的椭圆；使用安全玻璃作为紧急出口的，必须配备能敲碎玻璃的工具并粘贴标志。</w:t>
            </w:r>
            <w:bookmarkEnd w:id="157"/>
            <w:bookmarkEnd w:id="158"/>
          </w:p>
        </w:tc>
        <w:tc>
          <w:tcPr>
            <w:tcW w:w="850" w:type="dxa"/>
            <w:vAlign w:val="center"/>
          </w:tcPr>
          <w:p>
            <w:pPr>
              <w:pStyle w:val="66"/>
              <w:widowControl w:val="0"/>
              <w:ind w:firstLine="0" w:firstLineChars="0"/>
              <w:jc w:val="center"/>
              <w:rPr>
                <w:sz w:val="18"/>
                <w:szCs w:val="18"/>
              </w:rPr>
            </w:pPr>
            <w:r>
              <w:rPr>
                <w:rFonts w:hint="eastAsia" w:hAnsi="宋体"/>
                <w:sz w:val="18"/>
                <w:szCs w:val="18"/>
              </w:rPr>
              <w:t>√</w:t>
            </w:r>
          </w:p>
        </w:tc>
        <w:tc>
          <w:tcPr>
            <w:tcW w:w="958" w:type="dxa"/>
            <w:vAlign w:val="center"/>
          </w:tcPr>
          <w:p>
            <w:pPr>
              <w:pStyle w:val="66"/>
              <w:widowControl w:val="0"/>
              <w:ind w:firstLine="0" w:firstLineChars="0"/>
              <w:jc w:val="center"/>
              <w:rPr>
                <w:sz w:val="18"/>
                <w:szCs w:val="18"/>
              </w:rPr>
            </w:pPr>
            <w:r>
              <w:rPr>
                <w:rFonts w:hint="eastAsia"/>
                <w:sz w:val="18"/>
                <w:szCs w:val="18"/>
              </w:rPr>
              <w:t>/</w:t>
            </w:r>
          </w:p>
        </w:tc>
      </w:tr>
    </w:tbl>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附 录 B</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（规范性附录）</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安全性检查明细表（续）</w:t>
      </w:r>
    </w:p>
    <w:tbl>
      <w:tblPr>
        <w:tblStyle w:val="30"/>
        <w:tblW w:w="974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71"/>
        <w:gridCol w:w="1414"/>
        <w:gridCol w:w="5244"/>
        <w:gridCol w:w="85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985" w:type="dxa"/>
            <w:gridSpan w:val="2"/>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检查项目</w:t>
            </w:r>
          </w:p>
        </w:tc>
        <w:tc>
          <w:tcPr>
            <w:tcW w:w="524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合格指标说明</w:t>
            </w:r>
          </w:p>
        </w:tc>
        <w:tc>
          <w:tcPr>
            <w:tcW w:w="851"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自走式</w:t>
            </w:r>
          </w:p>
        </w:tc>
        <w:tc>
          <w:tcPr>
            <w:tcW w:w="957"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其他型式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71" w:type="dxa"/>
            <w:vMerge w:val="restart"/>
            <w:vAlign w:val="center"/>
          </w:tcPr>
          <w:p>
            <w:pPr>
              <w:pStyle w:val="66"/>
              <w:widowControl w:val="0"/>
              <w:spacing w:line="4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安全防护</w:t>
            </w: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操作者</w:t>
            </w:r>
          </w:p>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操纵装置</w:t>
            </w:r>
          </w:p>
        </w:tc>
        <w:tc>
          <w:tcPr>
            <w:tcW w:w="5244" w:type="dxa"/>
            <w:vAlign w:val="center"/>
          </w:tcPr>
          <w:p>
            <w:pPr>
              <w:pStyle w:val="66"/>
              <w:widowControl w:val="0"/>
              <w:spacing w:line="260" w:lineRule="exact"/>
              <w:ind w:firstLine="360"/>
              <w:rPr>
                <w:sz w:val="18"/>
                <w:szCs w:val="18"/>
              </w:rPr>
            </w:pPr>
            <w:bookmarkStart w:id="159" w:name="_Toc471142648"/>
            <w:bookmarkStart w:id="160" w:name="_Toc471142492"/>
            <w:r>
              <w:rPr>
                <w:rFonts w:hint="eastAsia"/>
                <w:sz w:val="18"/>
                <w:szCs w:val="18"/>
              </w:rPr>
              <w:t>操作者操纵装置和它们的位置应有适合操作者的文种描述的操作符号。</w:t>
            </w:r>
            <w:bookmarkEnd w:id="159"/>
            <w:bookmarkEnd w:id="160"/>
            <w:r>
              <w:rPr>
                <w:rFonts w:hint="eastAsia"/>
                <w:sz w:val="18"/>
                <w:szCs w:val="18"/>
              </w:rPr>
              <w:t>所有操纵装置周围应有最小50mm的间隙。</w:t>
            </w:r>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360"/>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71"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asciiTheme="minorEastAsia" w:hAnsiTheme="minorEastAsia" w:eastAsiaTheme="minorEastAsia"/>
                <w:sz w:val="18"/>
                <w:szCs w:val="18"/>
              </w:rPr>
              <w:t>挤压和剪切部位</w:t>
            </w:r>
          </w:p>
        </w:tc>
        <w:tc>
          <w:tcPr>
            <w:tcW w:w="5244" w:type="dxa"/>
            <w:vAlign w:val="center"/>
          </w:tcPr>
          <w:p>
            <w:pPr>
              <w:pStyle w:val="66"/>
              <w:widowControl w:val="0"/>
              <w:spacing w:line="260" w:lineRule="exact"/>
              <w:ind w:firstLine="360"/>
              <w:rPr>
                <w:rFonts w:hAnsi="宋体"/>
                <w:sz w:val="18"/>
                <w:szCs w:val="18"/>
              </w:rPr>
            </w:pPr>
            <w:bookmarkStart w:id="161" w:name="_Toc471142649"/>
            <w:bookmarkStart w:id="162" w:name="_Toc471142493"/>
            <w:r>
              <w:rPr>
                <w:rFonts w:hint="eastAsia"/>
                <w:sz w:val="18"/>
                <w:szCs w:val="18"/>
              </w:rPr>
              <w:t>操作者坐在座位上，手或脚触及范围内不应有剪切或挤压部位。如果座位后部相邻部件具有光滑的表面、座位靠背各面交界无棱边</w:t>
            </w:r>
            <w:r>
              <w:rPr>
                <w:rFonts w:hint="eastAsia" w:hAnsi="宋体"/>
                <w:sz w:val="18"/>
                <w:szCs w:val="18"/>
              </w:rPr>
              <w:t>。</w:t>
            </w:r>
            <w:bookmarkEnd w:id="161"/>
            <w:bookmarkEnd w:id="162"/>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360"/>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71"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动力源</w:t>
            </w:r>
            <w:r>
              <w:rPr>
                <w:rFonts w:asciiTheme="minorEastAsia" w:hAnsiTheme="minorEastAsia" w:eastAsiaTheme="minorEastAsia"/>
                <w:sz w:val="18"/>
                <w:szCs w:val="18"/>
              </w:rPr>
              <w:t>启动和停机装置</w:t>
            </w:r>
          </w:p>
        </w:tc>
        <w:tc>
          <w:tcPr>
            <w:tcW w:w="5244" w:type="dxa"/>
            <w:vAlign w:val="center"/>
          </w:tcPr>
          <w:p>
            <w:pPr>
              <w:pStyle w:val="66"/>
              <w:widowControl w:val="0"/>
              <w:spacing w:line="260" w:lineRule="exact"/>
              <w:ind w:firstLine="360"/>
              <w:rPr>
                <w:sz w:val="18"/>
                <w:szCs w:val="18"/>
              </w:rPr>
            </w:pPr>
            <w:bookmarkStart w:id="163" w:name="_Toc471142494"/>
            <w:bookmarkStart w:id="164" w:name="_Toc471142650"/>
            <w:r>
              <w:rPr>
                <w:rFonts w:hint="eastAsia"/>
                <w:sz w:val="18"/>
                <w:szCs w:val="18"/>
              </w:rPr>
              <w:t>葵花籽收获机结构上应保证割台、脱粒机构等工作部件在未接合的状态下，柴油机才能被启动；每个动力源都应有不需操作者持续施力即可停机的装置，处于“停机”位置时，只有经人工恢复到正常位置后方能再启动；停机装置应设置在容易接触到的位置，</w:t>
            </w:r>
            <w:bookmarkEnd w:id="163"/>
            <w:bookmarkEnd w:id="164"/>
            <w:r>
              <w:rPr>
                <w:rFonts w:hint="eastAsia"/>
                <w:sz w:val="18"/>
                <w:szCs w:val="18"/>
              </w:rPr>
              <w:t>应有防止意外启动的措施。</w:t>
            </w:r>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36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71"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蓄电池</w:t>
            </w:r>
          </w:p>
        </w:tc>
        <w:tc>
          <w:tcPr>
            <w:tcW w:w="5244" w:type="dxa"/>
            <w:vAlign w:val="center"/>
          </w:tcPr>
          <w:p>
            <w:pPr>
              <w:pStyle w:val="66"/>
              <w:widowControl w:val="0"/>
              <w:spacing w:line="260" w:lineRule="exact"/>
              <w:ind w:firstLine="360"/>
              <w:rPr>
                <w:sz w:val="18"/>
                <w:szCs w:val="18"/>
              </w:rPr>
            </w:pPr>
            <w:bookmarkStart w:id="165" w:name="_Toc471142496"/>
            <w:bookmarkStart w:id="166" w:name="_Toc471142652"/>
            <w:r>
              <w:rPr>
                <w:rFonts w:hint="eastAsia"/>
                <w:sz w:val="18"/>
                <w:szCs w:val="18"/>
              </w:rPr>
              <w:t>应置于便于保养和维修的位置处。电器件、蓄电池的非接地端应进行防护，以防止与其意外接触及与地面形成短路。</w:t>
            </w:r>
            <w:bookmarkEnd w:id="165"/>
            <w:bookmarkEnd w:id="166"/>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36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71"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光、</w:t>
            </w:r>
            <w:r>
              <w:rPr>
                <w:rFonts w:asciiTheme="minorEastAsia" w:hAnsiTheme="minorEastAsia" w:eastAsiaTheme="minorEastAsia"/>
                <w:sz w:val="18"/>
                <w:szCs w:val="18"/>
              </w:rPr>
              <w:t>声信号系统及灯光装置</w:t>
            </w:r>
          </w:p>
        </w:tc>
        <w:tc>
          <w:tcPr>
            <w:tcW w:w="5244" w:type="dxa"/>
            <w:vAlign w:val="center"/>
          </w:tcPr>
          <w:p>
            <w:pPr>
              <w:pStyle w:val="66"/>
              <w:widowControl w:val="0"/>
              <w:spacing w:line="260" w:lineRule="exact"/>
              <w:ind w:firstLine="360"/>
              <w:rPr>
                <w:sz w:val="18"/>
                <w:szCs w:val="18"/>
              </w:rPr>
            </w:pPr>
            <w:bookmarkStart w:id="167" w:name="_Toc471142654"/>
            <w:bookmarkStart w:id="168" w:name="_Toc471142498"/>
            <w:r>
              <w:rPr>
                <w:rFonts w:hint="eastAsia"/>
                <w:sz w:val="18"/>
                <w:szCs w:val="18"/>
              </w:rPr>
              <w:t>自走式收获机至少应装作业照明灯</w:t>
            </w:r>
            <w:r>
              <w:rPr>
                <w:sz w:val="18"/>
                <w:szCs w:val="18"/>
              </w:rPr>
              <w:t>2</w:t>
            </w:r>
            <w:r>
              <w:rPr>
                <w:rFonts w:hint="eastAsia"/>
                <w:sz w:val="18"/>
                <w:szCs w:val="18"/>
              </w:rPr>
              <w:t>只（</w:t>
            </w:r>
            <w:r>
              <w:rPr>
                <w:sz w:val="18"/>
                <w:szCs w:val="18"/>
              </w:rPr>
              <w:t>1</w:t>
            </w:r>
            <w:r>
              <w:rPr>
                <w:rFonts w:hint="eastAsia"/>
                <w:sz w:val="18"/>
                <w:szCs w:val="18"/>
              </w:rPr>
              <w:t>只照向割台前方，</w:t>
            </w:r>
            <w:r>
              <w:rPr>
                <w:sz w:val="18"/>
                <w:szCs w:val="18"/>
              </w:rPr>
              <w:t>1</w:t>
            </w:r>
            <w:r>
              <w:rPr>
                <w:rFonts w:hint="eastAsia"/>
                <w:sz w:val="18"/>
                <w:szCs w:val="18"/>
              </w:rPr>
              <w:t>只照向卸料区），行走、倒车喇叭和</w:t>
            </w:r>
            <w:r>
              <w:rPr>
                <w:sz w:val="18"/>
                <w:szCs w:val="18"/>
              </w:rPr>
              <w:t>2</w:t>
            </w:r>
            <w:r>
              <w:rPr>
                <w:rFonts w:hint="eastAsia"/>
                <w:sz w:val="18"/>
                <w:szCs w:val="18"/>
              </w:rPr>
              <w:t>只后视镜；最高行使速度大于</w:t>
            </w:r>
            <w:r>
              <w:rPr>
                <w:sz w:val="18"/>
                <w:szCs w:val="18"/>
              </w:rPr>
              <w:t>10 km/h</w:t>
            </w:r>
            <w:r>
              <w:rPr>
                <w:rFonts w:hint="eastAsia"/>
                <w:sz w:val="18"/>
                <w:szCs w:val="18"/>
              </w:rPr>
              <w:t>的收获机还必须装前照灯</w:t>
            </w:r>
            <w:r>
              <w:rPr>
                <w:sz w:val="18"/>
                <w:szCs w:val="18"/>
              </w:rPr>
              <w:t>2</w:t>
            </w:r>
            <w:r>
              <w:rPr>
                <w:rFonts w:hint="eastAsia"/>
                <w:sz w:val="18"/>
                <w:szCs w:val="18"/>
              </w:rPr>
              <w:t>只、前位灯</w:t>
            </w:r>
            <w:r>
              <w:rPr>
                <w:sz w:val="18"/>
                <w:szCs w:val="18"/>
              </w:rPr>
              <w:t>2</w:t>
            </w:r>
            <w:r>
              <w:rPr>
                <w:rFonts w:hint="eastAsia"/>
                <w:sz w:val="18"/>
                <w:szCs w:val="18"/>
              </w:rPr>
              <w:t>只、后位灯</w:t>
            </w:r>
            <w:r>
              <w:rPr>
                <w:sz w:val="18"/>
                <w:szCs w:val="18"/>
              </w:rPr>
              <w:t>2</w:t>
            </w:r>
            <w:r>
              <w:rPr>
                <w:rFonts w:hint="eastAsia"/>
                <w:sz w:val="18"/>
                <w:szCs w:val="18"/>
              </w:rPr>
              <w:t>只、前转向灯</w:t>
            </w:r>
            <w:r>
              <w:rPr>
                <w:sz w:val="18"/>
                <w:szCs w:val="18"/>
              </w:rPr>
              <w:t>2</w:t>
            </w:r>
            <w:r>
              <w:rPr>
                <w:rFonts w:hint="eastAsia"/>
                <w:sz w:val="18"/>
                <w:szCs w:val="18"/>
              </w:rPr>
              <w:t>只、后转向灯</w:t>
            </w:r>
            <w:r>
              <w:rPr>
                <w:sz w:val="18"/>
                <w:szCs w:val="18"/>
              </w:rPr>
              <w:t>2</w:t>
            </w:r>
            <w:r>
              <w:rPr>
                <w:rFonts w:hint="eastAsia"/>
                <w:sz w:val="18"/>
                <w:szCs w:val="18"/>
              </w:rPr>
              <w:t>只、倒车灯</w:t>
            </w:r>
            <w:r>
              <w:rPr>
                <w:sz w:val="18"/>
                <w:szCs w:val="18"/>
              </w:rPr>
              <w:t>2</w:t>
            </w:r>
            <w:r>
              <w:rPr>
                <w:rFonts w:hint="eastAsia"/>
                <w:sz w:val="18"/>
                <w:szCs w:val="18"/>
              </w:rPr>
              <w:t>只、制动灯</w:t>
            </w:r>
            <w:r>
              <w:rPr>
                <w:sz w:val="18"/>
                <w:szCs w:val="18"/>
              </w:rPr>
              <w:t>2</w:t>
            </w:r>
            <w:r>
              <w:rPr>
                <w:rFonts w:hint="eastAsia"/>
                <w:sz w:val="18"/>
                <w:szCs w:val="18"/>
              </w:rPr>
              <w:t>只。</w:t>
            </w:r>
            <w:bookmarkEnd w:id="167"/>
            <w:bookmarkEnd w:id="168"/>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36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71" w:type="dxa"/>
            <w:vMerge w:val="restart"/>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w:t>
            </w:r>
          </w:p>
          <w:p>
            <w:pPr>
              <w:pStyle w:val="66"/>
              <w:widowControl w:val="0"/>
              <w:spacing w:line="240" w:lineRule="exact"/>
              <w:ind w:firstLine="0" w:firstLineChars="0"/>
              <w:contextualSpacing/>
              <w:jc w:val="center"/>
              <w:rPr>
                <w:rFonts w:asciiTheme="minorEastAsia" w:hAnsiTheme="minorEastAsia" w:eastAsiaTheme="minorEastAsia"/>
                <w:sz w:val="18"/>
                <w:szCs w:val="18"/>
              </w:rPr>
            </w:pPr>
          </w:p>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全</w:t>
            </w:r>
          </w:p>
          <w:p>
            <w:pPr>
              <w:pStyle w:val="66"/>
              <w:widowControl w:val="0"/>
              <w:spacing w:line="240" w:lineRule="exact"/>
              <w:ind w:firstLine="0" w:firstLineChars="0"/>
              <w:contextualSpacing/>
              <w:jc w:val="center"/>
              <w:rPr>
                <w:rFonts w:asciiTheme="minorEastAsia" w:hAnsiTheme="minorEastAsia" w:eastAsiaTheme="minorEastAsia"/>
                <w:sz w:val="18"/>
                <w:szCs w:val="18"/>
              </w:rPr>
            </w:pPr>
          </w:p>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信</w:t>
            </w:r>
          </w:p>
          <w:p>
            <w:pPr>
              <w:pStyle w:val="66"/>
              <w:widowControl w:val="0"/>
              <w:spacing w:line="240" w:lineRule="exact"/>
              <w:ind w:firstLine="0" w:firstLineChars="0"/>
              <w:contextualSpacing/>
              <w:jc w:val="center"/>
              <w:rPr>
                <w:rFonts w:asciiTheme="minorEastAsia" w:hAnsiTheme="minorEastAsia" w:eastAsiaTheme="minorEastAsia"/>
                <w:sz w:val="18"/>
                <w:szCs w:val="18"/>
              </w:rPr>
            </w:pPr>
          </w:p>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息</w:t>
            </w: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安全标志</w:t>
            </w:r>
          </w:p>
        </w:tc>
        <w:tc>
          <w:tcPr>
            <w:tcW w:w="5244" w:type="dxa"/>
            <w:vAlign w:val="center"/>
          </w:tcPr>
          <w:p>
            <w:pPr>
              <w:pStyle w:val="66"/>
              <w:widowControl w:val="0"/>
              <w:spacing w:line="260" w:lineRule="exact"/>
              <w:ind w:firstLine="360"/>
              <w:rPr>
                <w:sz w:val="18"/>
                <w:szCs w:val="18"/>
              </w:rPr>
            </w:pPr>
            <w:bookmarkStart w:id="169" w:name="_Toc471142616"/>
            <w:bookmarkStart w:id="170" w:name="_Toc471142460"/>
            <w:r>
              <w:rPr>
                <w:rFonts w:hint="eastAsia"/>
                <w:sz w:val="18"/>
                <w:szCs w:val="18"/>
              </w:rPr>
              <w:t>摘籽盘辊、拉茎辊、输送螺旋、驾驶台、籽粒（籽盘、葵盘）箱、茎秆切割器等对操作者存在或有潜在危险的部位（如正常操作时必须外露的功能件，防护装置的开口处和维修保养时有危险的部位），应在其附近固定永久的安全标志。安全标志型式应符合</w:t>
            </w:r>
            <w:r>
              <w:rPr>
                <w:sz w:val="18"/>
                <w:szCs w:val="18"/>
              </w:rPr>
              <w:t>GB 10396</w:t>
            </w:r>
            <w:r>
              <w:rPr>
                <w:rFonts w:hint="eastAsia"/>
                <w:sz w:val="18"/>
                <w:szCs w:val="18"/>
              </w:rPr>
              <w:t>的规定</w:t>
            </w:r>
            <w:bookmarkEnd w:id="169"/>
            <w:bookmarkEnd w:id="170"/>
            <w:r>
              <w:rPr>
                <w:rFonts w:hint="eastAsia"/>
                <w:sz w:val="18"/>
                <w:szCs w:val="18"/>
              </w:rPr>
              <w:t>，在使用说明书中复现，并说明其位置。</w:t>
            </w:r>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Chars="111"/>
              <w:rPr>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571" w:type="dxa"/>
            <w:vMerge w:val="continue"/>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p>
        </w:tc>
        <w:tc>
          <w:tcPr>
            <w:tcW w:w="1414" w:type="dxa"/>
            <w:vAlign w:val="center"/>
          </w:tcPr>
          <w:p>
            <w:pPr>
              <w:pStyle w:val="66"/>
              <w:widowControl w:val="0"/>
              <w:spacing w:line="240" w:lineRule="exact"/>
              <w:ind w:firstLine="0" w:firstLineChars="0"/>
              <w:contextualSpacing/>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安全使用说明</w:t>
            </w:r>
          </w:p>
        </w:tc>
        <w:tc>
          <w:tcPr>
            <w:tcW w:w="5244" w:type="dxa"/>
            <w:vAlign w:val="center"/>
          </w:tcPr>
          <w:p>
            <w:pPr>
              <w:pStyle w:val="66"/>
              <w:widowControl w:val="0"/>
              <w:spacing w:line="260" w:lineRule="exact"/>
              <w:ind w:firstLine="360"/>
              <w:rPr>
                <w:sz w:val="18"/>
                <w:szCs w:val="18"/>
              </w:rPr>
            </w:pPr>
            <w:bookmarkStart w:id="171" w:name="_Toc471142461"/>
            <w:bookmarkStart w:id="172" w:name="_Toc471142617"/>
            <w:r>
              <w:rPr>
                <w:rFonts w:hint="eastAsia"/>
                <w:sz w:val="18"/>
                <w:szCs w:val="18"/>
              </w:rPr>
              <w:t>使用说明书应给出或指出：</w:t>
            </w:r>
            <w:bookmarkEnd w:id="171"/>
            <w:bookmarkEnd w:id="172"/>
          </w:p>
          <w:p>
            <w:pPr>
              <w:pStyle w:val="66"/>
              <w:widowControl w:val="0"/>
              <w:spacing w:line="260" w:lineRule="exact"/>
              <w:ind w:firstLine="360"/>
              <w:rPr>
                <w:sz w:val="18"/>
                <w:szCs w:val="18"/>
              </w:rPr>
            </w:pPr>
            <w:bookmarkStart w:id="173" w:name="_Toc471142618"/>
            <w:bookmarkStart w:id="174" w:name="_Toc471142462"/>
            <w:r>
              <w:rPr>
                <w:sz w:val="18"/>
                <w:szCs w:val="18"/>
              </w:rPr>
              <w:t>a</w:t>
            </w:r>
            <w:r>
              <w:rPr>
                <w:rFonts w:hint="eastAsia"/>
                <w:sz w:val="18"/>
                <w:szCs w:val="18"/>
              </w:rPr>
              <w:t>）适当的警示事项和安全标志；</w:t>
            </w:r>
            <w:bookmarkEnd w:id="173"/>
            <w:bookmarkEnd w:id="174"/>
          </w:p>
          <w:p>
            <w:pPr>
              <w:pStyle w:val="66"/>
              <w:widowControl w:val="0"/>
              <w:spacing w:line="260" w:lineRule="exact"/>
              <w:ind w:firstLine="360"/>
              <w:rPr>
                <w:sz w:val="18"/>
                <w:szCs w:val="18"/>
              </w:rPr>
            </w:pPr>
            <w:bookmarkStart w:id="175" w:name="_Toc471142463"/>
            <w:bookmarkStart w:id="176" w:name="_Toc471142619"/>
            <w:r>
              <w:rPr>
                <w:sz w:val="18"/>
                <w:szCs w:val="18"/>
              </w:rPr>
              <w:t>b</w:t>
            </w:r>
            <w:r>
              <w:rPr>
                <w:rFonts w:hint="eastAsia"/>
                <w:sz w:val="18"/>
                <w:szCs w:val="18"/>
              </w:rPr>
              <w:t>）工作状态下摘籽盘区（工作部件）内的喂入装置或摘籽盘处会出现挤压与剪切的危险；</w:t>
            </w:r>
            <w:bookmarkEnd w:id="175"/>
            <w:bookmarkEnd w:id="176"/>
            <w:bookmarkStart w:id="177" w:name="_Toc471142620"/>
            <w:bookmarkStart w:id="178" w:name="_Toc471142464"/>
          </w:p>
          <w:p>
            <w:pPr>
              <w:pStyle w:val="66"/>
              <w:widowControl w:val="0"/>
              <w:spacing w:line="260" w:lineRule="exact"/>
              <w:ind w:firstLine="360"/>
              <w:rPr>
                <w:sz w:val="18"/>
                <w:szCs w:val="18"/>
              </w:rPr>
            </w:pPr>
            <w:r>
              <w:rPr>
                <w:sz w:val="18"/>
                <w:szCs w:val="18"/>
              </w:rPr>
              <w:t>c</w:t>
            </w:r>
            <w:r>
              <w:rPr>
                <w:rFonts w:hint="eastAsia"/>
                <w:sz w:val="18"/>
                <w:szCs w:val="18"/>
              </w:rPr>
              <w:t>）机器运转时进入籽粒（籽盘、葵盘）箱的危险；</w:t>
            </w:r>
            <w:bookmarkEnd w:id="177"/>
            <w:bookmarkEnd w:id="178"/>
          </w:p>
          <w:p>
            <w:pPr>
              <w:pStyle w:val="66"/>
              <w:widowControl w:val="0"/>
              <w:spacing w:line="260" w:lineRule="exact"/>
              <w:ind w:firstLine="360"/>
              <w:rPr>
                <w:sz w:val="18"/>
                <w:szCs w:val="18"/>
              </w:rPr>
            </w:pPr>
            <w:bookmarkStart w:id="179" w:name="_Toc471142621"/>
            <w:bookmarkStart w:id="180" w:name="_Toc471142465"/>
            <w:r>
              <w:rPr>
                <w:sz w:val="18"/>
                <w:szCs w:val="18"/>
              </w:rPr>
              <w:t>d</w:t>
            </w:r>
            <w:r>
              <w:rPr>
                <w:rFonts w:hint="eastAsia"/>
                <w:sz w:val="18"/>
                <w:szCs w:val="18"/>
              </w:rPr>
              <w:t>）收获机作业时周围不得站人；</w:t>
            </w:r>
            <w:bookmarkEnd w:id="179"/>
            <w:bookmarkEnd w:id="180"/>
          </w:p>
          <w:p>
            <w:pPr>
              <w:pStyle w:val="66"/>
              <w:widowControl w:val="0"/>
              <w:spacing w:line="260" w:lineRule="exact"/>
              <w:ind w:firstLine="360"/>
              <w:rPr>
                <w:sz w:val="18"/>
                <w:szCs w:val="18"/>
              </w:rPr>
            </w:pPr>
            <w:r>
              <w:rPr>
                <w:rFonts w:hint="eastAsia"/>
                <w:sz w:val="18"/>
                <w:szCs w:val="18"/>
              </w:rPr>
              <w:t>e）未成年人和未掌握收获机操作要求的人员严禁操作；</w:t>
            </w:r>
          </w:p>
          <w:p>
            <w:pPr>
              <w:pStyle w:val="66"/>
              <w:widowControl w:val="0"/>
              <w:spacing w:line="260" w:lineRule="exact"/>
              <w:ind w:firstLine="360"/>
              <w:rPr>
                <w:sz w:val="18"/>
                <w:szCs w:val="18"/>
              </w:rPr>
            </w:pPr>
            <w:r>
              <w:rPr>
                <w:rFonts w:hint="eastAsia"/>
                <w:sz w:val="18"/>
                <w:szCs w:val="18"/>
              </w:rPr>
              <w:t>f）严禁操作人员酒后、带病或过度疲劳时开机作业；</w:t>
            </w:r>
          </w:p>
          <w:p>
            <w:pPr>
              <w:pStyle w:val="66"/>
              <w:widowControl w:val="0"/>
              <w:spacing w:line="260" w:lineRule="exact"/>
              <w:ind w:firstLine="360"/>
              <w:rPr>
                <w:sz w:val="18"/>
                <w:szCs w:val="18"/>
              </w:rPr>
            </w:pPr>
            <w:bookmarkStart w:id="181" w:name="_Toc471142466"/>
            <w:bookmarkStart w:id="182" w:name="_Toc471142622"/>
            <w:r>
              <w:rPr>
                <w:sz w:val="18"/>
                <w:szCs w:val="18"/>
              </w:rPr>
              <w:t>e</w:t>
            </w:r>
            <w:r>
              <w:rPr>
                <w:rFonts w:hint="eastAsia"/>
                <w:sz w:val="18"/>
                <w:szCs w:val="18"/>
              </w:rPr>
              <w:t>）灭火器的使用方法和放置位置；</w:t>
            </w:r>
            <w:bookmarkEnd w:id="181"/>
            <w:bookmarkEnd w:id="182"/>
            <w:bookmarkStart w:id="183" w:name="_Toc471142467"/>
            <w:bookmarkStart w:id="184" w:name="_Toc471142623"/>
          </w:p>
          <w:p>
            <w:pPr>
              <w:pStyle w:val="66"/>
              <w:widowControl w:val="0"/>
              <w:spacing w:line="260" w:lineRule="exact"/>
              <w:ind w:firstLine="360"/>
              <w:rPr>
                <w:sz w:val="18"/>
                <w:szCs w:val="18"/>
              </w:rPr>
            </w:pPr>
            <w:r>
              <w:rPr>
                <w:sz w:val="18"/>
                <w:szCs w:val="18"/>
              </w:rPr>
              <w:t>f</w:t>
            </w:r>
            <w:r>
              <w:rPr>
                <w:rFonts w:hint="eastAsia"/>
                <w:sz w:val="18"/>
                <w:szCs w:val="18"/>
              </w:rPr>
              <w:t>）割台固定机构使用方法等。</w:t>
            </w:r>
            <w:bookmarkEnd w:id="183"/>
            <w:bookmarkEnd w:id="184"/>
          </w:p>
        </w:tc>
        <w:tc>
          <w:tcPr>
            <w:tcW w:w="851" w:type="dxa"/>
            <w:vAlign w:val="center"/>
          </w:tcPr>
          <w:p>
            <w:pPr>
              <w:pStyle w:val="66"/>
              <w:widowControl w:val="0"/>
              <w:ind w:firstLineChars="111"/>
              <w:rPr>
                <w:sz w:val="18"/>
                <w:szCs w:val="18"/>
              </w:rPr>
            </w:pPr>
            <w:r>
              <w:rPr>
                <w:rFonts w:hint="eastAsia" w:hAnsi="宋体"/>
                <w:sz w:val="18"/>
                <w:szCs w:val="18"/>
              </w:rPr>
              <w:t>√</w:t>
            </w:r>
          </w:p>
        </w:tc>
        <w:tc>
          <w:tcPr>
            <w:tcW w:w="957" w:type="dxa"/>
            <w:vAlign w:val="center"/>
          </w:tcPr>
          <w:p>
            <w:pPr>
              <w:pStyle w:val="66"/>
              <w:widowControl w:val="0"/>
              <w:ind w:firstLineChars="111"/>
              <w:rPr>
                <w:sz w:val="18"/>
                <w:szCs w:val="18"/>
              </w:rPr>
            </w:pPr>
            <w:r>
              <w:rPr>
                <w:rFonts w:hint="eastAsia" w:hAnsi="宋体"/>
                <w:sz w:val="18"/>
                <w:szCs w:val="18"/>
              </w:rPr>
              <w:t>√</w:t>
            </w:r>
          </w:p>
        </w:tc>
      </w:tr>
    </w:tbl>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rPr>
          <w:rFonts w:asciiTheme="minorEastAsia" w:hAnsiTheme="minorEastAsia" w:eastAsiaTheme="minorEastAsia"/>
          <w:sz w:val="24"/>
          <w:szCs w:val="24"/>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ascii="黑体" w:hAnsi="黑体" w:eastAsia="黑体"/>
        </w:rPr>
      </w:pPr>
    </w:p>
    <w:p>
      <w:pPr>
        <w:pStyle w:val="66"/>
        <w:spacing w:beforeLines="50" w:afterLines="50"/>
        <w:ind w:right="420" w:firstLine="0" w:firstLineChars="0"/>
        <w:contextualSpacing/>
        <w:jc w:val="center"/>
        <w:rPr>
          <w:rFonts w:hint="eastAsia" w:ascii="黑体" w:hAnsi="黑体" w:eastAsia="黑体"/>
        </w:rPr>
      </w:pPr>
    </w:p>
    <w:p>
      <w:pPr>
        <w:pStyle w:val="66"/>
        <w:spacing w:beforeLines="50" w:afterLines="50"/>
        <w:ind w:right="420" w:firstLine="0" w:firstLineChars="0"/>
        <w:contextualSpacing/>
        <w:jc w:val="center"/>
        <w:rPr>
          <w:rFonts w:hint="eastAsia" w:ascii="黑体" w:hAnsi="黑体" w:eastAsia="黑体"/>
        </w:rPr>
      </w:pP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附 录 C</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（规范性附录）</w:t>
      </w:r>
    </w:p>
    <w:p>
      <w:pPr>
        <w:pStyle w:val="66"/>
        <w:spacing w:beforeLines="50" w:afterLines="50"/>
        <w:ind w:right="420" w:firstLine="0" w:firstLineChars="0"/>
        <w:contextualSpacing/>
        <w:jc w:val="center"/>
        <w:rPr>
          <w:rFonts w:ascii="黑体" w:hAnsi="黑体" w:eastAsia="黑体"/>
        </w:rPr>
      </w:pPr>
      <w:r>
        <w:rPr>
          <w:rFonts w:hint="eastAsia" w:ascii="黑体" w:hAnsi="黑体" w:eastAsia="黑体"/>
        </w:rPr>
        <w:t>用户调查表</w:t>
      </w:r>
    </w:p>
    <w:p>
      <w:pPr>
        <w:pStyle w:val="66"/>
        <w:ind w:firstLine="0" w:firstLineChars="0"/>
        <w:jc w:val="left"/>
        <w:rPr>
          <w:bCs/>
        </w:rPr>
      </w:pPr>
      <w:r>
        <w:rPr>
          <w:rFonts w:hint="eastAsia"/>
          <w:bCs/>
        </w:rPr>
        <w:t>调查单位：                           调查人：            调查日期：    年    月    日</w:t>
      </w:r>
    </w:p>
    <w:tbl>
      <w:tblPr>
        <w:tblStyle w:val="29"/>
        <w:tblW w:w="94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573"/>
        <w:gridCol w:w="418"/>
        <w:gridCol w:w="922"/>
        <w:gridCol w:w="352"/>
        <w:gridCol w:w="899"/>
        <w:gridCol w:w="1340"/>
        <w:gridCol w:w="1001"/>
        <w:gridCol w:w="409"/>
        <w:gridCol w:w="622"/>
        <w:gridCol w:w="245"/>
        <w:gridCol w:w="545"/>
        <w:gridCol w:w="7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restart"/>
            <w:vAlign w:val="center"/>
          </w:tcPr>
          <w:p>
            <w:pPr>
              <w:pStyle w:val="66"/>
              <w:ind w:firstLine="0" w:firstLineChars="0"/>
              <w:jc w:val="center"/>
              <w:rPr>
                <w:rFonts w:hAnsi="宋体"/>
                <w:bCs/>
                <w:sz w:val="18"/>
                <w:szCs w:val="18"/>
              </w:rPr>
            </w:pPr>
            <w:r>
              <w:rPr>
                <w:rFonts w:hint="eastAsia" w:hAnsi="宋体"/>
                <w:bCs/>
                <w:sz w:val="18"/>
                <w:szCs w:val="18"/>
              </w:rPr>
              <w:t>用户情况</w:t>
            </w:r>
          </w:p>
        </w:tc>
        <w:tc>
          <w:tcPr>
            <w:tcW w:w="2265" w:type="dxa"/>
            <w:gridSpan w:val="4"/>
            <w:vAlign w:val="center"/>
          </w:tcPr>
          <w:p>
            <w:pPr>
              <w:pStyle w:val="66"/>
              <w:ind w:firstLine="0" w:firstLineChars="0"/>
              <w:jc w:val="center"/>
              <w:rPr>
                <w:rFonts w:hAnsi="宋体"/>
                <w:bCs/>
                <w:sz w:val="18"/>
                <w:szCs w:val="18"/>
              </w:rPr>
            </w:pPr>
            <w:r>
              <w:rPr>
                <w:rFonts w:hint="eastAsia" w:hAnsi="宋体"/>
                <w:bCs/>
                <w:sz w:val="18"/>
                <w:szCs w:val="18"/>
              </w:rPr>
              <w:t>用户姓名</w:t>
            </w:r>
          </w:p>
        </w:tc>
        <w:tc>
          <w:tcPr>
            <w:tcW w:w="2239" w:type="dxa"/>
            <w:gridSpan w:val="2"/>
            <w:vAlign w:val="center"/>
          </w:tcPr>
          <w:p>
            <w:pPr>
              <w:pStyle w:val="66"/>
              <w:ind w:firstLine="0" w:firstLineChars="0"/>
              <w:jc w:val="center"/>
              <w:rPr>
                <w:rFonts w:hAnsi="宋体"/>
                <w:bCs/>
                <w:sz w:val="18"/>
                <w:szCs w:val="18"/>
              </w:rPr>
            </w:pPr>
          </w:p>
        </w:tc>
        <w:tc>
          <w:tcPr>
            <w:tcW w:w="2032" w:type="dxa"/>
            <w:gridSpan w:val="3"/>
            <w:vAlign w:val="center"/>
          </w:tcPr>
          <w:p>
            <w:pPr>
              <w:pStyle w:val="66"/>
              <w:ind w:firstLine="0" w:firstLineChars="0"/>
              <w:jc w:val="center"/>
              <w:rPr>
                <w:rFonts w:hAnsi="宋体"/>
                <w:bCs/>
                <w:sz w:val="18"/>
                <w:szCs w:val="18"/>
              </w:rPr>
            </w:pPr>
            <w:r>
              <w:rPr>
                <w:rFonts w:hint="eastAsia" w:hAnsi="宋体"/>
                <w:bCs/>
                <w:sz w:val="18"/>
                <w:szCs w:val="18"/>
              </w:rPr>
              <w:t>联系电话</w:t>
            </w:r>
          </w:p>
        </w:tc>
        <w:tc>
          <w:tcPr>
            <w:tcW w:w="2177" w:type="dxa"/>
            <w:gridSpan w:val="4"/>
            <w:vAlign w:val="center"/>
          </w:tcPr>
          <w:p>
            <w:pPr>
              <w:pStyle w:val="66"/>
              <w:ind w:firstLine="0" w:firstLineChars="0"/>
              <w:jc w:val="center"/>
              <w:rPr>
                <w:rFonts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2265" w:type="dxa"/>
            <w:gridSpan w:val="4"/>
            <w:vAlign w:val="center"/>
          </w:tcPr>
          <w:p>
            <w:pPr>
              <w:pStyle w:val="66"/>
              <w:ind w:firstLine="0" w:firstLineChars="0"/>
              <w:jc w:val="center"/>
              <w:rPr>
                <w:rFonts w:hAnsi="宋体"/>
                <w:bCs/>
                <w:sz w:val="18"/>
                <w:szCs w:val="18"/>
              </w:rPr>
            </w:pPr>
            <w:r>
              <w:rPr>
                <w:rFonts w:hint="eastAsia" w:hAnsi="宋体"/>
                <w:bCs/>
                <w:sz w:val="18"/>
                <w:szCs w:val="18"/>
              </w:rPr>
              <w:t>通讯地址</w:t>
            </w:r>
          </w:p>
        </w:tc>
        <w:tc>
          <w:tcPr>
            <w:tcW w:w="6448" w:type="dxa"/>
            <w:gridSpan w:val="9"/>
            <w:vAlign w:val="center"/>
          </w:tcPr>
          <w:p>
            <w:pPr>
              <w:pStyle w:val="66"/>
              <w:ind w:firstLine="0" w:firstLineChars="0"/>
              <w:jc w:val="center"/>
              <w:rPr>
                <w:rFonts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2265" w:type="dxa"/>
            <w:gridSpan w:val="4"/>
            <w:vAlign w:val="center"/>
          </w:tcPr>
          <w:p>
            <w:pPr>
              <w:pStyle w:val="66"/>
              <w:ind w:firstLine="0" w:firstLineChars="0"/>
              <w:jc w:val="center"/>
              <w:rPr>
                <w:rFonts w:hAnsi="宋体"/>
                <w:bCs/>
                <w:sz w:val="18"/>
                <w:szCs w:val="18"/>
              </w:rPr>
            </w:pPr>
            <w:r>
              <w:rPr>
                <w:rFonts w:hint="eastAsia" w:hAnsi="宋体"/>
                <w:bCs/>
                <w:sz w:val="18"/>
                <w:szCs w:val="18"/>
              </w:rPr>
              <w:t>所受培训</w:t>
            </w:r>
          </w:p>
        </w:tc>
        <w:tc>
          <w:tcPr>
            <w:tcW w:w="6448" w:type="dxa"/>
            <w:gridSpan w:val="9"/>
            <w:vAlign w:val="center"/>
          </w:tcPr>
          <w:p>
            <w:pPr>
              <w:pStyle w:val="66"/>
              <w:ind w:right="360" w:firstLine="0" w:firstLineChars="0"/>
              <w:jc w:val="center"/>
              <w:rPr>
                <w:rFonts w:hAnsi="宋体"/>
                <w:bCs/>
                <w:sz w:val="18"/>
                <w:szCs w:val="18"/>
              </w:rPr>
            </w:pPr>
            <w:r>
              <w:rPr>
                <w:rFonts w:hint="eastAsia" w:hAnsi="宋体"/>
                <w:bCs/>
                <w:sz w:val="18"/>
                <w:szCs w:val="18"/>
              </w:rPr>
              <w:t>□专业培训      □上机前培训      □未经过培训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restart"/>
            <w:vAlign w:val="center"/>
          </w:tcPr>
          <w:p>
            <w:pPr>
              <w:pStyle w:val="66"/>
              <w:ind w:firstLine="0" w:firstLineChars="0"/>
              <w:jc w:val="center"/>
              <w:rPr>
                <w:rFonts w:hAnsi="宋体"/>
                <w:bCs/>
                <w:sz w:val="18"/>
                <w:szCs w:val="18"/>
              </w:rPr>
            </w:pPr>
            <w:r>
              <w:rPr>
                <w:rFonts w:hint="eastAsia" w:hAnsi="宋体"/>
                <w:bCs/>
                <w:sz w:val="18"/>
                <w:szCs w:val="18"/>
              </w:rPr>
              <w:t>机具情况</w:t>
            </w:r>
          </w:p>
        </w:tc>
        <w:tc>
          <w:tcPr>
            <w:tcW w:w="2265" w:type="dxa"/>
            <w:gridSpan w:val="4"/>
            <w:vAlign w:val="center"/>
          </w:tcPr>
          <w:p>
            <w:pPr>
              <w:pStyle w:val="66"/>
              <w:ind w:firstLine="0" w:firstLineChars="0"/>
              <w:jc w:val="center"/>
              <w:rPr>
                <w:rFonts w:hAnsi="宋体"/>
                <w:bCs/>
                <w:sz w:val="18"/>
                <w:szCs w:val="18"/>
              </w:rPr>
            </w:pPr>
            <w:r>
              <w:rPr>
                <w:rFonts w:hint="eastAsia" w:hAnsi="宋体"/>
                <w:bCs/>
                <w:sz w:val="18"/>
                <w:szCs w:val="18"/>
              </w:rPr>
              <w:t>产品型号名称</w:t>
            </w:r>
          </w:p>
        </w:tc>
        <w:tc>
          <w:tcPr>
            <w:tcW w:w="6448" w:type="dxa"/>
            <w:gridSpan w:val="9"/>
            <w:vAlign w:val="center"/>
          </w:tcPr>
          <w:p>
            <w:pPr>
              <w:pStyle w:val="66"/>
              <w:ind w:firstLine="0" w:firstLineChars="0"/>
              <w:jc w:val="center"/>
              <w:rPr>
                <w:rFonts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2265" w:type="dxa"/>
            <w:gridSpan w:val="4"/>
            <w:vAlign w:val="center"/>
          </w:tcPr>
          <w:p>
            <w:pPr>
              <w:pStyle w:val="66"/>
              <w:ind w:firstLine="0" w:firstLineChars="0"/>
              <w:jc w:val="center"/>
              <w:rPr>
                <w:rFonts w:hAnsi="宋体"/>
                <w:bCs/>
                <w:sz w:val="18"/>
                <w:szCs w:val="18"/>
              </w:rPr>
            </w:pPr>
            <w:r>
              <w:rPr>
                <w:rFonts w:hint="eastAsia" w:hAnsi="宋体"/>
                <w:bCs/>
                <w:sz w:val="18"/>
                <w:szCs w:val="18"/>
              </w:rPr>
              <w:t>生产企业</w:t>
            </w:r>
          </w:p>
        </w:tc>
        <w:tc>
          <w:tcPr>
            <w:tcW w:w="2239" w:type="dxa"/>
            <w:gridSpan w:val="2"/>
            <w:vAlign w:val="center"/>
          </w:tcPr>
          <w:p>
            <w:pPr>
              <w:pStyle w:val="66"/>
              <w:ind w:firstLine="0" w:firstLineChars="0"/>
              <w:jc w:val="center"/>
              <w:rPr>
                <w:rFonts w:hAnsi="宋体"/>
                <w:bCs/>
                <w:sz w:val="18"/>
                <w:szCs w:val="18"/>
              </w:rPr>
            </w:pPr>
          </w:p>
        </w:tc>
        <w:tc>
          <w:tcPr>
            <w:tcW w:w="2032" w:type="dxa"/>
            <w:gridSpan w:val="3"/>
            <w:vAlign w:val="center"/>
          </w:tcPr>
          <w:p>
            <w:pPr>
              <w:pStyle w:val="66"/>
              <w:ind w:firstLine="0" w:firstLineChars="0"/>
              <w:jc w:val="center"/>
              <w:rPr>
                <w:rFonts w:hAnsi="宋体"/>
                <w:bCs/>
                <w:sz w:val="18"/>
                <w:szCs w:val="18"/>
              </w:rPr>
            </w:pPr>
            <w:r>
              <w:rPr>
                <w:rFonts w:hint="eastAsia" w:hAnsi="宋体"/>
                <w:bCs/>
                <w:sz w:val="18"/>
                <w:szCs w:val="18"/>
              </w:rPr>
              <w:t>出厂日期</w:t>
            </w:r>
          </w:p>
        </w:tc>
        <w:tc>
          <w:tcPr>
            <w:tcW w:w="2177" w:type="dxa"/>
            <w:gridSpan w:val="4"/>
            <w:vAlign w:val="center"/>
          </w:tcPr>
          <w:p>
            <w:pPr>
              <w:pStyle w:val="66"/>
              <w:ind w:firstLine="0" w:firstLineChars="0"/>
              <w:jc w:val="center"/>
              <w:rPr>
                <w:rFonts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2265" w:type="dxa"/>
            <w:gridSpan w:val="4"/>
            <w:vAlign w:val="center"/>
          </w:tcPr>
          <w:p>
            <w:pPr>
              <w:pStyle w:val="66"/>
              <w:ind w:firstLine="0" w:firstLineChars="0"/>
              <w:jc w:val="center"/>
              <w:rPr>
                <w:rFonts w:hAnsi="宋体"/>
                <w:bCs/>
                <w:sz w:val="18"/>
                <w:szCs w:val="18"/>
              </w:rPr>
            </w:pPr>
            <w:r>
              <w:rPr>
                <w:rFonts w:hint="eastAsia" w:hAnsi="宋体"/>
                <w:bCs/>
                <w:sz w:val="18"/>
                <w:szCs w:val="18"/>
              </w:rPr>
              <w:t>购机日期</w:t>
            </w:r>
          </w:p>
        </w:tc>
        <w:tc>
          <w:tcPr>
            <w:tcW w:w="2239" w:type="dxa"/>
            <w:gridSpan w:val="2"/>
            <w:vAlign w:val="center"/>
          </w:tcPr>
          <w:p>
            <w:pPr>
              <w:pStyle w:val="66"/>
              <w:ind w:firstLine="0" w:firstLineChars="0"/>
              <w:jc w:val="center"/>
              <w:rPr>
                <w:rFonts w:hAnsi="宋体"/>
                <w:bCs/>
                <w:sz w:val="18"/>
                <w:szCs w:val="18"/>
              </w:rPr>
            </w:pPr>
          </w:p>
        </w:tc>
        <w:tc>
          <w:tcPr>
            <w:tcW w:w="2032" w:type="dxa"/>
            <w:gridSpan w:val="3"/>
            <w:vAlign w:val="center"/>
          </w:tcPr>
          <w:p>
            <w:pPr>
              <w:pStyle w:val="66"/>
              <w:ind w:firstLine="0" w:firstLineChars="0"/>
              <w:jc w:val="center"/>
              <w:rPr>
                <w:rFonts w:hAnsi="宋体"/>
                <w:bCs/>
                <w:sz w:val="18"/>
                <w:szCs w:val="18"/>
              </w:rPr>
            </w:pPr>
            <w:r>
              <w:rPr>
                <w:rFonts w:hint="eastAsia" w:hAnsi="宋体"/>
                <w:bCs/>
                <w:sz w:val="18"/>
                <w:szCs w:val="18"/>
              </w:rPr>
              <w:t>出厂编号</w:t>
            </w:r>
          </w:p>
        </w:tc>
        <w:tc>
          <w:tcPr>
            <w:tcW w:w="2177" w:type="dxa"/>
            <w:gridSpan w:val="4"/>
            <w:vAlign w:val="center"/>
          </w:tcPr>
          <w:p>
            <w:pPr>
              <w:pStyle w:val="66"/>
              <w:ind w:firstLine="0" w:firstLineChars="0"/>
              <w:jc w:val="center"/>
              <w:rPr>
                <w:rFonts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restart"/>
            <w:vAlign w:val="center"/>
          </w:tcPr>
          <w:p>
            <w:pPr>
              <w:pStyle w:val="66"/>
              <w:ind w:firstLine="0" w:firstLineChars="0"/>
              <w:jc w:val="center"/>
              <w:rPr>
                <w:rFonts w:hAnsi="宋体"/>
                <w:bCs/>
                <w:sz w:val="18"/>
                <w:szCs w:val="18"/>
              </w:rPr>
            </w:pPr>
            <w:r>
              <w:rPr>
                <w:rFonts w:hint="eastAsia" w:hAnsi="宋体"/>
                <w:bCs/>
                <w:sz w:val="18"/>
                <w:szCs w:val="18"/>
              </w:rPr>
              <w:t>适</w:t>
            </w:r>
          </w:p>
          <w:p>
            <w:pPr>
              <w:pStyle w:val="66"/>
              <w:ind w:firstLine="0" w:firstLineChars="0"/>
              <w:jc w:val="center"/>
              <w:rPr>
                <w:rFonts w:hAnsi="宋体"/>
                <w:bCs/>
                <w:sz w:val="18"/>
                <w:szCs w:val="18"/>
              </w:rPr>
            </w:pPr>
            <w:r>
              <w:rPr>
                <w:rFonts w:hint="eastAsia" w:hAnsi="宋体"/>
                <w:bCs/>
                <w:sz w:val="18"/>
                <w:szCs w:val="18"/>
              </w:rPr>
              <w:t>用</w:t>
            </w:r>
          </w:p>
          <w:p>
            <w:pPr>
              <w:pStyle w:val="66"/>
              <w:ind w:firstLine="0" w:firstLineChars="0"/>
              <w:jc w:val="center"/>
              <w:rPr>
                <w:rFonts w:hAnsi="宋体"/>
                <w:bCs/>
                <w:sz w:val="18"/>
                <w:szCs w:val="18"/>
              </w:rPr>
            </w:pPr>
            <w:r>
              <w:rPr>
                <w:rFonts w:hint="eastAsia" w:hAnsi="宋体"/>
                <w:bCs/>
                <w:sz w:val="18"/>
                <w:szCs w:val="18"/>
              </w:rPr>
              <w:t>性</w:t>
            </w:r>
          </w:p>
        </w:tc>
        <w:tc>
          <w:tcPr>
            <w:tcW w:w="2265" w:type="dxa"/>
            <w:gridSpan w:val="4"/>
            <w:shd w:val="clear" w:color="auto" w:fill="auto"/>
            <w:vAlign w:val="center"/>
          </w:tcPr>
          <w:p>
            <w:pPr>
              <w:jc w:val="center"/>
              <w:rPr>
                <w:rFonts w:ascii="宋体" w:hAnsi="宋体"/>
                <w:sz w:val="18"/>
                <w:szCs w:val="18"/>
              </w:rPr>
            </w:pPr>
            <w:r>
              <w:rPr>
                <w:rFonts w:hint="eastAsia" w:ascii="宋体" w:hAnsi="宋体"/>
                <w:bCs/>
                <w:sz w:val="18"/>
                <w:szCs w:val="18"/>
              </w:rPr>
              <w:t>种植模式</w:t>
            </w:r>
            <w:r>
              <w:rPr>
                <w:rFonts w:hint="eastAsia" w:ascii="宋体" w:hAnsi="宋体"/>
                <w:sz w:val="18"/>
                <w:szCs w:val="18"/>
              </w:rPr>
              <w:t>的适用情况</w:t>
            </w:r>
          </w:p>
        </w:tc>
        <w:tc>
          <w:tcPr>
            <w:tcW w:w="2239" w:type="dxa"/>
            <w:gridSpan w:val="2"/>
            <w:shd w:val="clear" w:color="auto" w:fill="auto"/>
            <w:vAlign w:val="center"/>
          </w:tcPr>
          <w:p>
            <w:pPr>
              <w:pStyle w:val="66"/>
              <w:ind w:firstLine="0" w:firstLineChars="0"/>
              <w:jc w:val="center"/>
              <w:rPr>
                <w:rFonts w:hAnsi="宋体"/>
                <w:bCs/>
                <w:sz w:val="18"/>
                <w:szCs w:val="18"/>
              </w:rPr>
            </w:pPr>
            <w:r>
              <w:rPr>
                <w:rFonts w:hint="eastAsia" w:hAnsi="宋体"/>
                <w:bCs/>
                <w:sz w:val="18"/>
                <w:szCs w:val="18"/>
              </w:rPr>
              <w:t>□好</w:t>
            </w:r>
          </w:p>
        </w:tc>
        <w:tc>
          <w:tcPr>
            <w:tcW w:w="2032" w:type="dxa"/>
            <w:gridSpan w:val="3"/>
            <w:shd w:val="clear" w:color="auto" w:fill="auto"/>
            <w:vAlign w:val="center"/>
          </w:tcPr>
          <w:p>
            <w:pPr>
              <w:pStyle w:val="66"/>
              <w:ind w:firstLine="0" w:firstLineChars="0"/>
              <w:jc w:val="center"/>
              <w:rPr>
                <w:rFonts w:hAnsi="宋体"/>
                <w:bCs/>
                <w:sz w:val="18"/>
                <w:szCs w:val="18"/>
              </w:rPr>
            </w:pPr>
            <w:r>
              <w:rPr>
                <w:rFonts w:hint="eastAsia" w:hAnsi="宋体"/>
                <w:bCs/>
                <w:sz w:val="18"/>
                <w:szCs w:val="18"/>
              </w:rPr>
              <w:t>□中</w:t>
            </w:r>
          </w:p>
        </w:tc>
        <w:tc>
          <w:tcPr>
            <w:tcW w:w="2177" w:type="dxa"/>
            <w:gridSpan w:val="4"/>
            <w:shd w:val="clear" w:color="auto" w:fill="auto"/>
            <w:vAlign w:val="center"/>
          </w:tcPr>
          <w:p>
            <w:pPr>
              <w:pStyle w:val="66"/>
              <w:ind w:firstLine="0" w:firstLineChars="0"/>
              <w:jc w:val="center"/>
              <w:rPr>
                <w:rFonts w:hAnsi="宋体"/>
                <w:bCs/>
                <w:sz w:val="18"/>
                <w:szCs w:val="18"/>
              </w:rPr>
            </w:pPr>
            <w:r>
              <w:rPr>
                <w:rFonts w:hint="eastAsia" w:hAnsi="宋体"/>
                <w:bCs/>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vAlign w:val="center"/>
          </w:tcPr>
          <w:p>
            <w:pPr>
              <w:pStyle w:val="66"/>
              <w:ind w:firstLine="0" w:firstLineChars="0"/>
              <w:jc w:val="center"/>
              <w:rPr>
                <w:rFonts w:hAnsi="宋体"/>
                <w:bCs/>
                <w:sz w:val="18"/>
                <w:szCs w:val="18"/>
              </w:rPr>
            </w:pPr>
          </w:p>
        </w:tc>
        <w:tc>
          <w:tcPr>
            <w:tcW w:w="2265" w:type="dxa"/>
            <w:gridSpan w:val="4"/>
            <w:shd w:val="clear" w:color="auto" w:fill="auto"/>
            <w:vAlign w:val="center"/>
          </w:tcPr>
          <w:p>
            <w:pPr>
              <w:jc w:val="center"/>
              <w:rPr>
                <w:rFonts w:ascii="宋体" w:hAnsi="宋体"/>
                <w:sz w:val="18"/>
                <w:szCs w:val="18"/>
              </w:rPr>
            </w:pPr>
            <w:r>
              <w:rPr>
                <w:rFonts w:hint="eastAsia" w:ascii="宋体" w:hAnsi="宋体"/>
                <w:bCs/>
                <w:sz w:val="18"/>
                <w:szCs w:val="18"/>
              </w:rPr>
              <w:t>行距</w:t>
            </w:r>
            <w:r>
              <w:rPr>
                <w:rFonts w:hint="eastAsia" w:ascii="宋体" w:hAnsi="宋体"/>
                <w:sz w:val="18"/>
                <w:szCs w:val="18"/>
              </w:rPr>
              <w:t>的适用情况</w:t>
            </w:r>
          </w:p>
        </w:tc>
        <w:tc>
          <w:tcPr>
            <w:tcW w:w="2239" w:type="dxa"/>
            <w:gridSpan w:val="2"/>
            <w:shd w:val="clear" w:color="auto" w:fill="auto"/>
            <w:vAlign w:val="center"/>
          </w:tcPr>
          <w:p>
            <w:pPr>
              <w:pStyle w:val="66"/>
              <w:ind w:firstLine="0" w:firstLineChars="0"/>
              <w:jc w:val="center"/>
              <w:rPr>
                <w:rFonts w:hAnsi="宋体"/>
                <w:bCs/>
                <w:sz w:val="18"/>
                <w:szCs w:val="18"/>
              </w:rPr>
            </w:pPr>
            <w:r>
              <w:rPr>
                <w:rFonts w:hint="eastAsia" w:hAnsi="宋体"/>
                <w:bCs/>
                <w:sz w:val="18"/>
                <w:szCs w:val="18"/>
              </w:rPr>
              <w:t>□好</w:t>
            </w:r>
          </w:p>
        </w:tc>
        <w:tc>
          <w:tcPr>
            <w:tcW w:w="2032" w:type="dxa"/>
            <w:gridSpan w:val="3"/>
            <w:shd w:val="clear" w:color="auto" w:fill="auto"/>
            <w:vAlign w:val="center"/>
          </w:tcPr>
          <w:p>
            <w:pPr>
              <w:pStyle w:val="66"/>
              <w:ind w:firstLine="0" w:firstLineChars="0"/>
              <w:jc w:val="center"/>
              <w:rPr>
                <w:rFonts w:hAnsi="宋体"/>
                <w:bCs/>
                <w:sz w:val="18"/>
                <w:szCs w:val="18"/>
              </w:rPr>
            </w:pPr>
            <w:r>
              <w:rPr>
                <w:rFonts w:hint="eastAsia" w:hAnsi="宋体"/>
                <w:bCs/>
                <w:sz w:val="18"/>
                <w:szCs w:val="18"/>
              </w:rPr>
              <w:t>□中</w:t>
            </w:r>
          </w:p>
        </w:tc>
        <w:tc>
          <w:tcPr>
            <w:tcW w:w="2177" w:type="dxa"/>
            <w:gridSpan w:val="4"/>
            <w:shd w:val="clear" w:color="auto" w:fill="auto"/>
            <w:vAlign w:val="center"/>
          </w:tcPr>
          <w:p>
            <w:pPr>
              <w:pStyle w:val="66"/>
              <w:ind w:firstLine="0" w:firstLineChars="0"/>
              <w:jc w:val="center"/>
              <w:rPr>
                <w:rFonts w:hAnsi="宋体"/>
                <w:bCs/>
                <w:sz w:val="18"/>
                <w:szCs w:val="18"/>
              </w:rPr>
            </w:pPr>
            <w:r>
              <w:rPr>
                <w:rFonts w:hint="eastAsia" w:hAnsi="宋体"/>
                <w:bCs/>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vAlign w:val="center"/>
          </w:tcPr>
          <w:p>
            <w:pPr>
              <w:pStyle w:val="66"/>
              <w:ind w:firstLine="0" w:firstLineChars="0"/>
              <w:jc w:val="center"/>
              <w:rPr>
                <w:rFonts w:hAnsi="宋体"/>
                <w:bCs/>
                <w:sz w:val="18"/>
                <w:szCs w:val="18"/>
              </w:rPr>
            </w:pPr>
          </w:p>
        </w:tc>
        <w:tc>
          <w:tcPr>
            <w:tcW w:w="2265" w:type="dxa"/>
            <w:gridSpan w:val="4"/>
            <w:shd w:val="clear" w:color="auto" w:fill="auto"/>
            <w:vAlign w:val="center"/>
          </w:tcPr>
          <w:p>
            <w:pPr>
              <w:jc w:val="center"/>
              <w:rPr>
                <w:rFonts w:ascii="宋体" w:hAnsi="宋体"/>
                <w:sz w:val="18"/>
                <w:szCs w:val="18"/>
              </w:rPr>
            </w:pPr>
            <w:r>
              <w:rPr>
                <w:rFonts w:hint="eastAsia" w:ascii="宋体" w:hAnsi="宋体"/>
                <w:bCs/>
                <w:sz w:val="18"/>
                <w:szCs w:val="18"/>
              </w:rPr>
              <w:t>成熟度</w:t>
            </w:r>
            <w:r>
              <w:rPr>
                <w:rFonts w:hint="eastAsia" w:ascii="宋体" w:hAnsi="宋体"/>
                <w:sz w:val="18"/>
                <w:szCs w:val="18"/>
              </w:rPr>
              <w:t>的适用情况</w:t>
            </w:r>
          </w:p>
        </w:tc>
        <w:tc>
          <w:tcPr>
            <w:tcW w:w="2239" w:type="dxa"/>
            <w:gridSpan w:val="2"/>
            <w:shd w:val="clear" w:color="auto" w:fill="auto"/>
            <w:vAlign w:val="center"/>
          </w:tcPr>
          <w:p>
            <w:pPr>
              <w:pStyle w:val="66"/>
              <w:ind w:firstLine="0" w:firstLineChars="0"/>
              <w:jc w:val="center"/>
              <w:rPr>
                <w:rFonts w:hAnsi="宋体"/>
                <w:bCs/>
                <w:sz w:val="18"/>
                <w:szCs w:val="18"/>
              </w:rPr>
            </w:pPr>
            <w:r>
              <w:rPr>
                <w:rFonts w:hint="eastAsia" w:hAnsi="宋体"/>
                <w:bCs/>
                <w:sz w:val="18"/>
                <w:szCs w:val="18"/>
              </w:rPr>
              <w:t>□好</w:t>
            </w:r>
          </w:p>
        </w:tc>
        <w:tc>
          <w:tcPr>
            <w:tcW w:w="2032" w:type="dxa"/>
            <w:gridSpan w:val="3"/>
            <w:shd w:val="clear" w:color="auto" w:fill="auto"/>
            <w:vAlign w:val="center"/>
          </w:tcPr>
          <w:p>
            <w:pPr>
              <w:pStyle w:val="66"/>
              <w:ind w:firstLine="0" w:firstLineChars="0"/>
              <w:jc w:val="center"/>
              <w:rPr>
                <w:rFonts w:hAnsi="宋体"/>
                <w:bCs/>
                <w:sz w:val="18"/>
                <w:szCs w:val="18"/>
              </w:rPr>
            </w:pPr>
            <w:r>
              <w:rPr>
                <w:rFonts w:hint="eastAsia" w:hAnsi="宋体"/>
                <w:bCs/>
                <w:sz w:val="18"/>
                <w:szCs w:val="18"/>
              </w:rPr>
              <w:t>□中</w:t>
            </w:r>
          </w:p>
        </w:tc>
        <w:tc>
          <w:tcPr>
            <w:tcW w:w="2177" w:type="dxa"/>
            <w:gridSpan w:val="4"/>
            <w:shd w:val="clear" w:color="auto" w:fill="auto"/>
            <w:vAlign w:val="center"/>
          </w:tcPr>
          <w:p>
            <w:pPr>
              <w:pStyle w:val="66"/>
              <w:ind w:firstLine="0" w:firstLineChars="0"/>
              <w:jc w:val="center"/>
              <w:rPr>
                <w:rFonts w:hAnsi="宋体"/>
                <w:bCs/>
                <w:sz w:val="18"/>
                <w:szCs w:val="18"/>
              </w:rPr>
            </w:pPr>
            <w:r>
              <w:rPr>
                <w:rFonts w:hint="eastAsia" w:hAnsi="宋体"/>
                <w:bCs/>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vAlign w:val="center"/>
          </w:tcPr>
          <w:p>
            <w:pPr>
              <w:pStyle w:val="66"/>
              <w:ind w:firstLine="0" w:firstLineChars="0"/>
              <w:jc w:val="center"/>
              <w:rPr>
                <w:rFonts w:hAnsi="宋体"/>
                <w:bCs/>
                <w:sz w:val="18"/>
                <w:szCs w:val="18"/>
              </w:rPr>
            </w:pPr>
          </w:p>
        </w:tc>
        <w:tc>
          <w:tcPr>
            <w:tcW w:w="2265" w:type="dxa"/>
            <w:gridSpan w:val="4"/>
            <w:shd w:val="clear" w:color="auto" w:fill="auto"/>
            <w:vAlign w:val="center"/>
          </w:tcPr>
          <w:p>
            <w:pPr>
              <w:jc w:val="center"/>
              <w:rPr>
                <w:rFonts w:ascii="宋体" w:hAnsi="宋体"/>
                <w:sz w:val="18"/>
                <w:szCs w:val="18"/>
              </w:rPr>
            </w:pPr>
            <w:r>
              <w:rPr>
                <w:rFonts w:hint="eastAsia" w:ascii="宋体" w:hAnsi="宋体"/>
                <w:bCs/>
                <w:sz w:val="18"/>
                <w:szCs w:val="18"/>
              </w:rPr>
              <w:t>最低籽盘高度</w:t>
            </w:r>
            <w:r>
              <w:rPr>
                <w:rFonts w:hint="eastAsia" w:ascii="宋体" w:hAnsi="宋体"/>
                <w:sz w:val="18"/>
                <w:szCs w:val="18"/>
              </w:rPr>
              <w:t>的适用情况</w:t>
            </w:r>
          </w:p>
        </w:tc>
        <w:tc>
          <w:tcPr>
            <w:tcW w:w="2239" w:type="dxa"/>
            <w:gridSpan w:val="2"/>
            <w:shd w:val="clear" w:color="auto" w:fill="auto"/>
            <w:vAlign w:val="center"/>
          </w:tcPr>
          <w:p>
            <w:pPr>
              <w:pStyle w:val="66"/>
              <w:ind w:firstLine="0" w:firstLineChars="0"/>
              <w:jc w:val="center"/>
              <w:rPr>
                <w:rFonts w:hAnsi="宋体"/>
                <w:bCs/>
                <w:sz w:val="18"/>
                <w:szCs w:val="18"/>
              </w:rPr>
            </w:pPr>
            <w:r>
              <w:rPr>
                <w:rFonts w:hint="eastAsia" w:hAnsi="宋体"/>
                <w:bCs/>
                <w:sz w:val="18"/>
                <w:szCs w:val="18"/>
              </w:rPr>
              <w:t>□好</w:t>
            </w:r>
          </w:p>
        </w:tc>
        <w:tc>
          <w:tcPr>
            <w:tcW w:w="2032" w:type="dxa"/>
            <w:gridSpan w:val="3"/>
            <w:shd w:val="clear" w:color="auto" w:fill="auto"/>
            <w:vAlign w:val="center"/>
          </w:tcPr>
          <w:p>
            <w:pPr>
              <w:pStyle w:val="66"/>
              <w:ind w:firstLine="0" w:firstLineChars="0"/>
              <w:jc w:val="center"/>
              <w:rPr>
                <w:rFonts w:hAnsi="宋体"/>
                <w:bCs/>
                <w:sz w:val="18"/>
                <w:szCs w:val="18"/>
              </w:rPr>
            </w:pPr>
            <w:r>
              <w:rPr>
                <w:rFonts w:hint="eastAsia" w:hAnsi="宋体"/>
                <w:bCs/>
                <w:sz w:val="18"/>
                <w:szCs w:val="18"/>
              </w:rPr>
              <w:t>□中</w:t>
            </w:r>
          </w:p>
        </w:tc>
        <w:tc>
          <w:tcPr>
            <w:tcW w:w="2177" w:type="dxa"/>
            <w:gridSpan w:val="4"/>
            <w:shd w:val="clear" w:color="auto" w:fill="auto"/>
            <w:vAlign w:val="center"/>
          </w:tcPr>
          <w:p>
            <w:pPr>
              <w:pStyle w:val="66"/>
              <w:ind w:firstLine="0" w:firstLineChars="0"/>
              <w:jc w:val="center"/>
              <w:rPr>
                <w:rFonts w:hAnsi="宋体"/>
                <w:bCs/>
                <w:sz w:val="18"/>
                <w:szCs w:val="18"/>
              </w:rPr>
            </w:pPr>
            <w:r>
              <w:rPr>
                <w:rFonts w:hint="eastAsia" w:hAnsi="宋体"/>
                <w:bCs/>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restart"/>
            <w:vAlign w:val="center"/>
          </w:tcPr>
          <w:p>
            <w:pPr>
              <w:pStyle w:val="66"/>
              <w:ind w:firstLine="0" w:firstLineChars="0"/>
              <w:jc w:val="center"/>
              <w:rPr>
                <w:rFonts w:hAnsi="宋体"/>
                <w:bCs/>
                <w:sz w:val="18"/>
                <w:szCs w:val="18"/>
              </w:rPr>
            </w:pPr>
            <w:r>
              <w:rPr>
                <w:rFonts w:hint="eastAsia" w:hAnsi="宋体"/>
                <w:bCs/>
                <w:sz w:val="18"/>
                <w:szCs w:val="18"/>
              </w:rPr>
              <w:t>可</w:t>
            </w:r>
          </w:p>
          <w:p>
            <w:pPr>
              <w:pStyle w:val="66"/>
              <w:ind w:firstLine="0" w:firstLineChars="0"/>
              <w:jc w:val="center"/>
              <w:rPr>
                <w:rFonts w:hAnsi="宋体"/>
                <w:bCs/>
                <w:sz w:val="18"/>
                <w:szCs w:val="18"/>
              </w:rPr>
            </w:pPr>
            <w:r>
              <w:rPr>
                <w:rFonts w:hint="eastAsia" w:hAnsi="宋体"/>
                <w:bCs/>
                <w:sz w:val="18"/>
                <w:szCs w:val="18"/>
              </w:rPr>
              <w:t>靠</w:t>
            </w:r>
          </w:p>
          <w:p>
            <w:pPr>
              <w:pStyle w:val="66"/>
              <w:ind w:firstLine="0" w:firstLineChars="0"/>
              <w:jc w:val="center"/>
              <w:rPr>
                <w:rFonts w:hAnsi="宋体"/>
                <w:bCs/>
                <w:sz w:val="18"/>
                <w:szCs w:val="18"/>
              </w:rPr>
            </w:pPr>
            <w:r>
              <w:rPr>
                <w:rFonts w:hint="eastAsia" w:hAnsi="宋体"/>
                <w:bCs/>
                <w:sz w:val="18"/>
                <w:szCs w:val="18"/>
              </w:rPr>
              <w:t>性</w:t>
            </w:r>
          </w:p>
          <w:p>
            <w:pPr>
              <w:pStyle w:val="66"/>
              <w:ind w:firstLine="0" w:firstLineChars="0"/>
              <w:jc w:val="center"/>
              <w:rPr>
                <w:rFonts w:hAnsi="宋体"/>
                <w:bCs/>
                <w:sz w:val="18"/>
                <w:szCs w:val="18"/>
              </w:rPr>
            </w:pPr>
            <w:r>
              <w:rPr>
                <w:rFonts w:hint="eastAsia" w:hAnsi="宋体"/>
                <w:bCs/>
                <w:sz w:val="18"/>
                <w:szCs w:val="18"/>
              </w:rPr>
              <w:t>情</w:t>
            </w:r>
          </w:p>
          <w:p>
            <w:pPr>
              <w:pStyle w:val="66"/>
              <w:ind w:firstLine="0" w:firstLineChars="0"/>
              <w:jc w:val="center"/>
              <w:rPr>
                <w:rFonts w:hAnsi="宋体"/>
                <w:bCs/>
                <w:sz w:val="18"/>
                <w:szCs w:val="18"/>
              </w:rPr>
            </w:pPr>
            <w:r>
              <w:rPr>
                <w:rFonts w:hint="eastAsia" w:hAnsi="宋体"/>
                <w:bCs/>
                <w:sz w:val="18"/>
                <w:szCs w:val="18"/>
              </w:rPr>
              <w:t>况</w:t>
            </w:r>
          </w:p>
        </w:tc>
        <w:tc>
          <w:tcPr>
            <w:tcW w:w="991" w:type="dxa"/>
            <w:gridSpan w:val="2"/>
            <w:vMerge w:val="restart"/>
            <w:vAlign w:val="center"/>
          </w:tcPr>
          <w:p>
            <w:pPr>
              <w:pStyle w:val="66"/>
              <w:ind w:firstLine="0" w:firstLineChars="0"/>
              <w:jc w:val="center"/>
              <w:rPr>
                <w:rFonts w:hAnsi="宋体"/>
                <w:bCs/>
                <w:sz w:val="18"/>
                <w:szCs w:val="18"/>
              </w:rPr>
            </w:pPr>
            <w:r>
              <w:rPr>
                <w:rFonts w:hint="eastAsia" w:hAnsi="宋体"/>
                <w:sz w:val="18"/>
                <w:szCs w:val="18"/>
              </w:rPr>
              <w:t>满一个作业季节发生的故障情况</w:t>
            </w:r>
          </w:p>
        </w:tc>
        <w:tc>
          <w:tcPr>
            <w:tcW w:w="3513" w:type="dxa"/>
            <w:gridSpan w:val="4"/>
            <w:vAlign w:val="center"/>
          </w:tcPr>
          <w:p>
            <w:pPr>
              <w:pStyle w:val="66"/>
              <w:ind w:firstLine="0" w:firstLineChars="0"/>
              <w:jc w:val="center"/>
              <w:rPr>
                <w:rFonts w:hAnsi="宋体"/>
                <w:bCs/>
                <w:sz w:val="18"/>
                <w:szCs w:val="18"/>
              </w:rPr>
            </w:pPr>
            <w:r>
              <w:rPr>
                <w:rFonts w:hint="eastAsia" w:hAnsi="宋体"/>
                <w:sz w:val="18"/>
                <w:szCs w:val="18"/>
              </w:rPr>
              <w:t>故障部位和表现</w:t>
            </w:r>
          </w:p>
        </w:tc>
        <w:tc>
          <w:tcPr>
            <w:tcW w:w="2897" w:type="dxa"/>
            <w:gridSpan w:val="6"/>
            <w:vAlign w:val="center"/>
          </w:tcPr>
          <w:p>
            <w:pPr>
              <w:pStyle w:val="66"/>
              <w:ind w:firstLine="0" w:firstLineChars="0"/>
              <w:jc w:val="center"/>
              <w:rPr>
                <w:rFonts w:hAnsi="宋体"/>
                <w:bCs/>
                <w:sz w:val="18"/>
                <w:szCs w:val="18"/>
              </w:rPr>
            </w:pPr>
            <w:r>
              <w:rPr>
                <w:rFonts w:hint="eastAsia" w:hAnsi="宋体"/>
                <w:sz w:val="18"/>
                <w:szCs w:val="18"/>
              </w:rPr>
              <w:t>故障原因及处理</w:t>
            </w:r>
          </w:p>
        </w:tc>
        <w:tc>
          <w:tcPr>
            <w:tcW w:w="1312" w:type="dxa"/>
            <w:vAlign w:val="center"/>
          </w:tcPr>
          <w:p>
            <w:pPr>
              <w:pStyle w:val="66"/>
              <w:ind w:firstLine="0" w:firstLineChars="0"/>
              <w:jc w:val="center"/>
              <w:rPr>
                <w:rFonts w:hAnsi="宋体"/>
                <w:bCs/>
                <w:sz w:val="18"/>
                <w:szCs w:val="18"/>
              </w:rPr>
            </w:pPr>
            <w:r>
              <w:rPr>
                <w:rFonts w:hint="eastAsia" w:hAnsi="宋体"/>
                <w:sz w:val="18"/>
                <w:szCs w:val="18"/>
              </w:rPr>
              <w:t>故障级别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991" w:type="dxa"/>
            <w:gridSpan w:val="2"/>
            <w:vMerge w:val="continue"/>
          </w:tcPr>
          <w:p>
            <w:pPr>
              <w:pStyle w:val="66"/>
              <w:ind w:firstLine="0" w:firstLineChars="0"/>
              <w:jc w:val="center"/>
              <w:rPr>
                <w:rFonts w:hAnsi="宋体"/>
                <w:bCs/>
                <w:sz w:val="18"/>
                <w:szCs w:val="18"/>
              </w:rPr>
            </w:pPr>
          </w:p>
        </w:tc>
        <w:tc>
          <w:tcPr>
            <w:tcW w:w="3513" w:type="dxa"/>
            <w:gridSpan w:val="4"/>
          </w:tcPr>
          <w:p>
            <w:pPr>
              <w:pStyle w:val="66"/>
              <w:ind w:firstLine="0" w:firstLineChars="0"/>
              <w:jc w:val="center"/>
              <w:rPr>
                <w:rFonts w:hAnsi="宋体"/>
                <w:bCs/>
                <w:sz w:val="18"/>
                <w:szCs w:val="18"/>
              </w:rPr>
            </w:pPr>
          </w:p>
        </w:tc>
        <w:tc>
          <w:tcPr>
            <w:tcW w:w="2897" w:type="dxa"/>
            <w:gridSpan w:val="6"/>
            <w:vAlign w:val="center"/>
          </w:tcPr>
          <w:p>
            <w:pPr>
              <w:pStyle w:val="66"/>
              <w:ind w:firstLine="0" w:firstLineChars="0"/>
              <w:jc w:val="center"/>
              <w:rPr>
                <w:rFonts w:hAnsi="宋体"/>
                <w:bCs/>
                <w:sz w:val="18"/>
                <w:szCs w:val="18"/>
              </w:rPr>
            </w:pPr>
          </w:p>
        </w:tc>
        <w:tc>
          <w:tcPr>
            <w:tcW w:w="1312" w:type="dxa"/>
            <w:vAlign w:val="center"/>
          </w:tcPr>
          <w:p>
            <w:pPr>
              <w:pStyle w:val="66"/>
              <w:ind w:firstLine="0" w:firstLineChars="0"/>
              <w:jc w:val="center"/>
              <w:rPr>
                <w:rFonts w:hAnsi="宋体"/>
                <w:bCs/>
                <w:sz w:val="18"/>
                <w:szCs w:val="18"/>
              </w:rPr>
            </w:pPr>
            <w:r>
              <w:rPr>
                <w:rFonts w:hint="eastAsia" w:hAnsi="宋体"/>
                <w:bCs/>
                <w:sz w:val="18"/>
                <w:szCs w:val="18"/>
              </w:rPr>
              <w:t>□一般故障</w:t>
            </w:r>
          </w:p>
          <w:p>
            <w:pPr>
              <w:pStyle w:val="66"/>
              <w:ind w:firstLine="0" w:firstLineChars="0"/>
              <w:jc w:val="center"/>
              <w:rPr>
                <w:rFonts w:hAnsi="宋体"/>
                <w:bCs/>
                <w:sz w:val="18"/>
                <w:szCs w:val="18"/>
              </w:rPr>
            </w:pPr>
            <w:r>
              <w:rPr>
                <w:rFonts w:hint="eastAsia" w:hAnsi="宋体"/>
                <w:bCs/>
                <w:sz w:val="18"/>
                <w:szCs w:val="18"/>
              </w:rPr>
              <w:t>□严重故障</w:t>
            </w:r>
          </w:p>
          <w:p>
            <w:pPr>
              <w:pStyle w:val="66"/>
              <w:ind w:firstLine="0" w:firstLineChars="0"/>
              <w:jc w:val="center"/>
              <w:rPr>
                <w:rFonts w:hAnsi="宋体"/>
                <w:bCs/>
                <w:sz w:val="18"/>
                <w:szCs w:val="18"/>
              </w:rPr>
            </w:pPr>
            <w:r>
              <w:rPr>
                <w:rFonts w:hint="eastAsia" w:hAnsi="宋体"/>
                <w:bCs/>
                <w:sz w:val="18"/>
                <w:szCs w:val="18"/>
              </w:rPr>
              <w:t>□致命故障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991" w:type="dxa"/>
            <w:gridSpan w:val="2"/>
            <w:vMerge w:val="continue"/>
          </w:tcPr>
          <w:p>
            <w:pPr>
              <w:pStyle w:val="66"/>
              <w:ind w:firstLine="0" w:firstLineChars="0"/>
              <w:jc w:val="center"/>
              <w:rPr>
                <w:rFonts w:hAnsi="宋体"/>
                <w:bCs/>
                <w:sz w:val="18"/>
                <w:szCs w:val="18"/>
              </w:rPr>
            </w:pPr>
          </w:p>
        </w:tc>
        <w:tc>
          <w:tcPr>
            <w:tcW w:w="3513" w:type="dxa"/>
            <w:gridSpan w:val="4"/>
          </w:tcPr>
          <w:p>
            <w:pPr>
              <w:pStyle w:val="66"/>
              <w:ind w:firstLine="0" w:firstLineChars="0"/>
              <w:jc w:val="center"/>
              <w:rPr>
                <w:rFonts w:hAnsi="宋体"/>
                <w:bCs/>
                <w:sz w:val="18"/>
                <w:szCs w:val="18"/>
              </w:rPr>
            </w:pPr>
          </w:p>
        </w:tc>
        <w:tc>
          <w:tcPr>
            <w:tcW w:w="2897" w:type="dxa"/>
            <w:gridSpan w:val="6"/>
            <w:vAlign w:val="center"/>
          </w:tcPr>
          <w:p>
            <w:pPr>
              <w:pStyle w:val="66"/>
              <w:ind w:firstLine="0" w:firstLineChars="0"/>
              <w:jc w:val="center"/>
              <w:rPr>
                <w:rFonts w:hAnsi="宋体"/>
                <w:bCs/>
                <w:sz w:val="18"/>
                <w:szCs w:val="18"/>
              </w:rPr>
            </w:pPr>
          </w:p>
        </w:tc>
        <w:tc>
          <w:tcPr>
            <w:tcW w:w="1312" w:type="dxa"/>
            <w:vAlign w:val="center"/>
          </w:tcPr>
          <w:p>
            <w:pPr>
              <w:pStyle w:val="66"/>
              <w:ind w:firstLine="0" w:firstLineChars="0"/>
              <w:jc w:val="center"/>
              <w:rPr>
                <w:rFonts w:hAnsi="宋体"/>
                <w:bCs/>
                <w:sz w:val="18"/>
                <w:szCs w:val="18"/>
              </w:rPr>
            </w:pPr>
            <w:r>
              <w:rPr>
                <w:rFonts w:hint="eastAsia" w:hAnsi="宋体"/>
                <w:bCs/>
                <w:sz w:val="18"/>
                <w:szCs w:val="18"/>
              </w:rPr>
              <w:t>□一般故障</w:t>
            </w:r>
          </w:p>
          <w:p>
            <w:pPr>
              <w:pStyle w:val="66"/>
              <w:ind w:firstLine="0" w:firstLineChars="0"/>
              <w:jc w:val="center"/>
              <w:rPr>
                <w:rFonts w:hAnsi="宋体"/>
                <w:bCs/>
                <w:sz w:val="18"/>
                <w:szCs w:val="18"/>
              </w:rPr>
            </w:pPr>
            <w:r>
              <w:rPr>
                <w:rFonts w:hint="eastAsia" w:hAnsi="宋体"/>
                <w:bCs/>
                <w:sz w:val="18"/>
                <w:szCs w:val="18"/>
              </w:rPr>
              <w:t>□严重故障</w:t>
            </w:r>
          </w:p>
          <w:p>
            <w:pPr>
              <w:pStyle w:val="66"/>
              <w:ind w:firstLine="0" w:firstLineChars="0"/>
              <w:jc w:val="center"/>
              <w:rPr>
                <w:rFonts w:hAnsi="宋体"/>
                <w:bCs/>
                <w:sz w:val="18"/>
                <w:szCs w:val="18"/>
              </w:rPr>
            </w:pPr>
            <w:r>
              <w:rPr>
                <w:rFonts w:hint="eastAsia" w:hAnsi="宋体"/>
                <w:bCs/>
                <w:sz w:val="18"/>
                <w:szCs w:val="18"/>
              </w:rPr>
              <w:t>□致命故障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991" w:type="dxa"/>
            <w:gridSpan w:val="2"/>
            <w:vMerge w:val="continue"/>
          </w:tcPr>
          <w:p>
            <w:pPr>
              <w:pStyle w:val="66"/>
              <w:ind w:firstLine="0" w:firstLineChars="0"/>
              <w:jc w:val="center"/>
              <w:rPr>
                <w:rFonts w:hAnsi="宋体"/>
                <w:bCs/>
                <w:sz w:val="18"/>
                <w:szCs w:val="18"/>
              </w:rPr>
            </w:pPr>
          </w:p>
        </w:tc>
        <w:tc>
          <w:tcPr>
            <w:tcW w:w="3513" w:type="dxa"/>
            <w:gridSpan w:val="4"/>
          </w:tcPr>
          <w:p>
            <w:pPr>
              <w:pStyle w:val="66"/>
              <w:ind w:firstLine="0" w:firstLineChars="0"/>
              <w:jc w:val="center"/>
              <w:rPr>
                <w:rFonts w:hAnsi="宋体"/>
                <w:bCs/>
                <w:sz w:val="18"/>
                <w:szCs w:val="18"/>
              </w:rPr>
            </w:pPr>
          </w:p>
        </w:tc>
        <w:tc>
          <w:tcPr>
            <w:tcW w:w="2897" w:type="dxa"/>
            <w:gridSpan w:val="6"/>
            <w:vAlign w:val="center"/>
          </w:tcPr>
          <w:p>
            <w:pPr>
              <w:pStyle w:val="66"/>
              <w:ind w:firstLine="0" w:firstLineChars="0"/>
              <w:jc w:val="center"/>
              <w:rPr>
                <w:rFonts w:hAnsi="宋体"/>
                <w:bCs/>
                <w:sz w:val="18"/>
                <w:szCs w:val="18"/>
              </w:rPr>
            </w:pPr>
          </w:p>
        </w:tc>
        <w:tc>
          <w:tcPr>
            <w:tcW w:w="1312" w:type="dxa"/>
            <w:vAlign w:val="center"/>
          </w:tcPr>
          <w:p>
            <w:pPr>
              <w:pStyle w:val="66"/>
              <w:ind w:firstLine="0" w:firstLineChars="0"/>
              <w:jc w:val="center"/>
              <w:rPr>
                <w:rFonts w:hAnsi="宋体"/>
                <w:bCs/>
                <w:sz w:val="18"/>
                <w:szCs w:val="18"/>
              </w:rPr>
            </w:pPr>
            <w:r>
              <w:rPr>
                <w:rFonts w:hint="eastAsia" w:hAnsi="宋体"/>
                <w:bCs/>
                <w:sz w:val="18"/>
                <w:szCs w:val="18"/>
              </w:rPr>
              <w:t>□一般故障</w:t>
            </w:r>
          </w:p>
          <w:p>
            <w:pPr>
              <w:pStyle w:val="66"/>
              <w:ind w:firstLine="0" w:firstLineChars="0"/>
              <w:jc w:val="center"/>
              <w:rPr>
                <w:rFonts w:hAnsi="宋体"/>
                <w:bCs/>
                <w:sz w:val="18"/>
                <w:szCs w:val="18"/>
              </w:rPr>
            </w:pPr>
            <w:r>
              <w:rPr>
                <w:rFonts w:hint="eastAsia" w:hAnsi="宋体"/>
                <w:bCs/>
                <w:sz w:val="18"/>
                <w:szCs w:val="18"/>
              </w:rPr>
              <w:t>□严重故障</w:t>
            </w:r>
          </w:p>
          <w:p>
            <w:pPr>
              <w:pStyle w:val="66"/>
              <w:ind w:firstLine="0" w:firstLineChars="0"/>
              <w:jc w:val="center"/>
              <w:rPr>
                <w:rFonts w:hAnsi="宋体"/>
                <w:bCs/>
                <w:sz w:val="18"/>
                <w:szCs w:val="18"/>
              </w:rPr>
            </w:pPr>
            <w:r>
              <w:rPr>
                <w:rFonts w:hint="eastAsia" w:hAnsi="宋体"/>
                <w:bCs/>
                <w:sz w:val="18"/>
                <w:szCs w:val="18"/>
              </w:rPr>
              <w:t>□致命故障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1913" w:type="dxa"/>
            <w:gridSpan w:val="3"/>
            <w:vAlign w:val="center"/>
          </w:tcPr>
          <w:p>
            <w:pPr>
              <w:pStyle w:val="66"/>
              <w:ind w:firstLine="0" w:firstLineChars="0"/>
              <w:jc w:val="center"/>
              <w:rPr>
                <w:rFonts w:hAnsi="宋体"/>
                <w:bCs/>
                <w:sz w:val="18"/>
                <w:szCs w:val="18"/>
              </w:rPr>
            </w:pPr>
            <w:r>
              <w:rPr>
                <w:rFonts w:hint="eastAsia" w:hAnsi="宋体"/>
                <w:bCs/>
                <w:sz w:val="18"/>
                <w:szCs w:val="18"/>
              </w:rPr>
              <w:t>重大质量故障情况</w:t>
            </w:r>
          </w:p>
        </w:tc>
        <w:tc>
          <w:tcPr>
            <w:tcW w:w="1251" w:type="dxa"/>
            <w:gridSpan w:val="2"/>
            <w:vAlign w:val="center"/>
          </w:tcPr>
          <w:p>
            <w:pPr>
              <w:pStyle w:val="66"/>
              <w:ind w:firstLine="0" w:firstLineChars="0"/>
              <w:jc w:val="center"/>
              <w:rPr>
                <w:rFonts w:hAnsi="宋体"/>
                <w:bCs/>
                <w:sz w:val="18"/>
                <w:szCs w:val="18"/>
              </w:rPr>
            </w:pPr>
            <w:r>
              <w:rPr>
                <w:rFonts w:hint="eastAsia" w:hAnsi="宋体"/>
                <w:bCs/>
                <w:sz w:val="18"/>
                <w:szCs w:val="18"/>
              </w:rPr>
              <w:t>□有</w:t>
            </w:r>
          </w:p>
        </w:tc>
        <w:tc>
          <w:tcPr>
            <w:tcW w:w="1340" w:type="dxa"/>
            <w:vAlign w:val="center"/>
          </w:tcPr>
          <w:p>
            <w:pPr>
              <w:pStyle w:val="66"/>
              <w:ind w:firstLine="0" w:firstLineChars="0"/>
              <w:jc w:val="center"/>
              <w:rPr>
                <w:rFonts w:hAnsi="宋体"/>
                <w:bCs/>
                <w:sz w:val="18"/>
                <w:szCs w:val="18"/>
              </w:rPr>
            </w:pPr>
            <w:r>
              <w:rPr>
                <w:rFonts w:hint="eastAsia" w:hAnsi="宋体"/>
                <w:bCs/>
                <w:sz w:val="18"/>
                <w:szCs w:val="18"/>
              </w:rPr>
              <w:t>□无</w:t>
            </w:r>
          </w:p>
        </w:tc>
        <w:tc>
          <w:tcPr>
            <w:tcW w:w="4209" w:type="dxa"/>
            <w:gridSpan w:val="7"/>
            <w:vAlign w:val="center"/>
          </w:tcPr>
          <w:p>
            <w:pPr>
              <w:pStyle w:val="66"/>
              <w:ind w:firstLine="0" w:firstLineChars="0"/>
              <w:jc w:val="left"/>
              <w:rPr>
                <w:rFonts w:hAnsi="宋体"/>
                <w:bCs/>
                <w:sz w:val="18"/>
                <w:szCs w:val="18"/>
              </w:rPr>
            </w:pPr>
            <w:r>
              <w:rPr>
                <w:rFonts w:hint="eastAsia" w:hAnsi="宋体"/>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1913" w:type="dxa"/>
            <w:gridSpan w:val="3"/>
            <w:vAlign w:val="center"/>
          </w:tcPr>
          <w:p>
            <w:pPr>
              <w:pStyle w:val="66"/>
              <w:ind w:firstLine="0" w:firstLineChars="0"/>
              <w:jc w:val="center"/>
              <w:rPr>
                <w:rFonts w:hAnsi="宋体"/>
                <w:bCs/>
                <w:sz w:val="18"/>
                <w:szCs w:val="18"/>
              </w:rPr>
            </w:pPr>
            <w:r>
              <w:rPr>
                <w:rFonts w:hint="eastAsia" w:hAnsi="宋体"/>
                <w:bCs/>
                <w:sz w:val="18"/>
                <w:szCs w:val="18"/>
              </w:rPr>
              <w:t>安全事故情况</w:t>
            </w:r>
          </w:p>
        </w:tc>
        <w:tc>
          <w:tcPr>
            <w:tcW w:w="1251" w:type="dxa"/>
            <w:gridSpan w:val="2"/>
            <w:vAlign w:val="center"/>
          </w:tcPr>
          <w:p>
            <w:pPr>
              <w:pStyle w:val="66"/>
              <w:ind w:firstLine="0" w:firstLineChars="0"/>
              <w:jc w:val="center"/>
              <w:rPr>
                <w:rFonts w:hAnsi="宋体"/>
                <w:bCs/>
                <w:sz w:val="18"/>
                <w:szCs w:val="18"/>
              </w:rPr>
            </w:pPr>
            <w:r>
              <w:rPr>
                <w:rFonts w:hint="eastAsia" w:hAnsi="宋体"/>
                <w:bCs/>
                <w:sz w:val="18"/>
                <w:szCs w:val="18"/>
              </w:rPr>
              <w:t>□有</w:t>
            </w:r>
          </w:p>
        </w:tc>
        <w:tc>
          <w:tcPr>
            <w:tcW w:w="1340" w:type="dxa"/>
            <w:vAlign w:val="center"/>
          </w:tcPr>
          <w:p>
            <w:pPr>
              <w:pStyle w:val="66"/>
              <w:ind w:firstLine="0" w:firstLineChars="0"/>
              <w:jc w:val="center"/>
              <w:rPr>
                <w:rFonts w:hAnsi="宋体"/>
                <w:bCs/>
                <w:sz w:val="18"/>
                <w:szCs w:val="18"/>
              </w:rPr>
            </w:pPr>
            <w:r>
              <w:rPr>
                <w:rFonts w:hint="eastAsia" w:hAnsi="宋体"/>
                <w:bCs/>
                <w:sz w:val="18"/>
                <w:szCs w:val="18"/>
              </w:rPr>
              <w:t>□无</w:t>
            </w:r>
          </w:p>
        </w:tc>
        <w:tc>
          <w:tcPr>
            <w:tcW w:w="4209" w:type="dxa"/>
            <w:gridSpan w:val="7"/>
            <w:vAlign w:val="center"/>
          </w:tcPr>
          <w:p>
            <w:pPr>
              <w:pStyle w:val="66"/>
              <w:ind w:firstLine="0" w:firstLineChars="0"/>
              <w:jc w:val="left"/>
              <w:rPr>
                <w:rFonts w:hAnsi="宋体"/>
                <w:bCs/>
                <w:sz w:val="18"/>
                <w:szCs w:val="18"/>
              </w:rPr>
            </w:pPr>
            <w:r>
              <w:rPr>
                <w:rFonts w:hint="eastAsia" w:hAnsi="宋体"/>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11" w:type="dxa"/>
            <w:vMerge w:val="continue"/>
          </w:tcPr>
          <w:p>
            <w:pPr>
              <w:pStyle w:val="66"/>
              <w:ind w:firstLine="0" w:firstLineChars="0"/>
              <w:rPr>
                <w:rFonts w:hAnsi="宋体"/>
                <w:bCs/>
                <w:sz w:val="18"/>
                <w:szCs w:val="18"/>
              </w:rPr>
            </w:pPr>
          </w:p>
        </w:tc>
        <w:tc>
          <w:tcPr>
            <w:tcW w:w="1913" w:type="dxa"/>
            <w:gridSpan w:val="3"/>
            <w:vAlign w:val="center"/>
          </w:tcPr>
          <w:p>
            <w:pPr>
              <w:pStyle w:val="66"/>
              <w:ind w:firstLine="0" w:firstLineChars="0"/>
              <w:jc w:val="center"/>
              <w:rPr>
                <w:rFonts w:hAnsi="宋体"/>
                <w:bCs/>
                <w:sz w:val="18"/>
                <w:szCs w:val="18"/>
              </w:rPr>
            </w:pPr>
            <w:r>
              <w:rPr>
                <w:rFonts w:hint="eastAsia" w:hAnsi="宋体"/>
                <w:bCs/>
                <w:sz w:val="18"/>
                <w:szCs w:val="18"/>
              </w:rPr>
              <w:t>可靠性用户满意度</w:t>
            </w:r>
          </w:p>
        </w:tc>
        <w:tc>
          <w:tcPr>
            <w:tcW w:w="1251" w:type="dxa"/>
            <w:gridSpan w:val="2"/>
            <w:vAlign w:val="center"/>
          </w:tcPr>
          <w:p>
            <w:pPr>
              <w:pStyle w:val="66"/>
              <w:ind w:firstLine="0" w:firstLineChars="0"/>
              <w:jc w:val="center"/>
              <w:rPr>
                <w:rFonts w:hAnsi="宋体"/>
                <w:bCs/>
                <w:sz w:val="18"/>
                <w:szCs w:val="18"/>
              </w:rPr>
            </w:pPr>
            <w:r>
              <w:rPr>
                <w:rFonts w:hint="eastAsia" w:hAnsi="宋体"/>
                <w:bCs/>
                <w:sz w:val="18"/>
                <w:szCs w:val="18"/>
              </w:rPr>
              <w:t>□好［5］　　　　　　</w:t>
            </w:r>
          </w:p>
        </w:tc>
        <w:tc>
          <w:tcPr>
            <w:tcW w:w="1340" w:type="dxa"/>
            <w:vAlign w:val="center"/>
          </w:tcPr>
          <w:p>
            <w:pPr>
              <w:pStyle w:val="66"/>
              <w:ind w:firstLine="0" w:firstLineChars="0"/>
              <w:jc w:val="center"/>
              <w:rPr>
                <w:rFonts w:hAnsi="宋体"/>
                <w:bCs/>
                <w:sz w:val="18"/>
                <w:szCs w:val="18"/>
              </w:rPr>
            </w:pPr>
            <w:r>
              <w:rPr>
                <w:rFonts w:hint="eastAsia" w:hAnsi="宋体"/>
                <w:bCs/>
                <w:sz w:val="18"/>
                <w:szCs w:val="18"/>
              </w:rPr>
              <w:t>□较好［4］</w:t>
            </w:r>
          </w:p>
        </w:tc>
        <w:tc>
          <w:tcPr>
            <w:tcW w:w="1410" w:type="dxa"/>
            <w:gridSpan w:val="2"/>
            <w:vAlign w:val="center"/>
          </w:tcPr>
          <w:p>
            <w:pPr>
              <w:pStyle w:val="66"/>
              <w:ind w:firstLine="0" w:firstLineChars="0"/>
              <w:jc w:val="center"/>
              <w:rPr>
                <w:rFonts w:hAnsi="宋体"/>
                <w:bCs/>
                <w:sz w:val="18"/>
                <w:szCs w:val="18"/>
              </w:rPr>
            </w:pPr>
            <w:r>
              <w:rPr>
                <w:rFonts w:hint="eastAsia" w:hAnsi="宋体"/>
                <w:bCs/>
                <w:sz w:val="18"/>
                <w:szCs w:val="18"/>
              </w:rPr>
              <w:t>□中［3］</w:t>
            </w:r>
          </w:p>
        </w:tc>
        <w:tc>
          <w:tcPr>
            <w:tcW w:w="1412" w:type="dxa"/>
            <w:gridSpan w:val="3"/>
            <w:vAlign w:val="center"/>
          </w:tcPr>
          <w:p>
            <w:pPr>
              <w:pStyle w:val="66"/>
              <w:ind w:firstLine="0" w:firstLineChars="0"/>
              <w:jc w:val="center"/>
              <w:rPr>
                <w:rFonts w:hAnsi="宋体"/>
                <w:bCs/>
                <w:sz w:val="18"/>
                <w:szCs w:val="18"/>
              </w:rPr>
            </w:pPr>
            <w:r>
              <w:rPr>
                <w:rFonts w:hint="eastAsia" w:hAnsi="宋体"/>
                <w:bCs/>
                <w:sz w:val="18"/>
                <w:szCs w:val="18"/>
              </w:rPr>
              <w:t>□较差［2］</w:t>
            </w:r>
          </w:p>
        </w:tc>
        <w:tc>
          <w:tcPr>
            <w:tcW w:w="1387" w:type="dxa"/>
            <w:gridSpan w:val="2"/>
            <w:vAlign w:val="center"/>
          </w:tcPr>
          <w:p>
            <w:pPr>
              <w:pStyle w:val="66"/>
              <w:ind w:firstLine="0" w:firstLineChars="0"/>
              <w:jc w:val="center"/>
              <w:rPr>
                <w:rFonts w:hAnsi="宋体"/>
                <w:bCs/>
                <w:sz w:val="18"/>
                <w:szCs w:val="18"/>
              </w:rPr>
            </w:pPr>
            <w:r>
              <w:rPr>
                <w:rFonts w:hint="eastAsia" w:hAnsi="宋体"/>
                <w:bCs/>
                <w:sz w:val="18"/>
                <w:szCs w:val="18"/>
              </w:rPr>
              <w:t>□差［1］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84" w:type="dxa"/>
            <w:gridSpan w:val="2"/>
            <w:vAlign w:val="center"/>
          </w:tcPr>
          <w:p>
            <w:pPr>
              <w:pStyle w:val="66"/>
              <w:ind w:firstLine="0" w:firstLineChars="0"/>
              <w:jc w:val="center"/>
              <w:rPr>
                <w:rFonts w:hAnsi="宋体"/>
                <w:bCs/>
                <w:sz w:val="18"/>
                <w:szCs w:val="18"/>
              </w:rPr>
            </w:pPr>
            <w:r>
              <w:rPr>
                <w:rFonts w:hint="eastAsia" w:hAnsi="宋体"/>
                <w:bCs/>
                <w:sz w:val="18"/>
                <w:szCs w:val="18"/>
              </w:rPr>
              <w:t>调查方式</w:t>
            </w:r>
          </w:p>
        </w:tc>
        <w:tc>
          <w:tcPr>
            <w:tcW w:w="4932" w:type="dxa"/>
            <w:gridSpan w:val="6"/>
            <w:vAlign w:val="center"/>
          </w:tcPr>
          <w:p>
            <w:pPr>
              <w:pStyle w:val="66"/>
              <w:ind w:firstLine="0" w:firstLineChars="0"/>
              <w:jc w:val="center"/>
              <w:rPr>
                <w:rFonts w:hAnsi="宋体"/>
                <w:bCs/>
                <w:sz w:val="18"/>
                <w:szCs w:val="18"/>
              </w:rPr>
            </w:pPr>
            <w:r>
              <w:rPr>
                <w:rFonts w:hint="eastAsia" w:hAnsi="宋体"/>
                <w:bCs/>
                <w:sz w:val="18"/>
                <w:szCs w:val="18"/>
              </w:rPr>
              <w:t>□实地    □信函    □电话          　　   　　　　　　　　　　　　　　　　　</w:t>
            </w:r>
          </w:p>
        </w:tc>
        <w:tc>
          <w:tcPr>
            <w:tcW w:w="1276" w:type="dxa"/>
            <w:gridSpan w:val="3"/>
            <w:vAlign w:val="center"/>
          </w:tcPr>
          <w:p>
            <w:pPr>
              <w:pStyle w:val="66"/>
              <w:ind w:firstLine="0" w:firstLineChars="0"/>
              <w:jc w:val="center"/>
              <w:rPr>
                <w:rFonts w:hAnsi="宋体"/>
                <w:bCs/>
                <w:sz w:val="18"/>
                <w:szCs w:val="18"/>
              </w:rPr>
            </w:pPr>
            <w:r>
              <w:rPr>
                <w:rFonts w:hint="eastAsia" w:hAnsi="宋体"/>
                <w:bCs/>
                <w:sz w:val="18"/>
                <w:szCs w:val="18"/>
              </w:rPr>
              <w:t>用户签字</w:t>
            </w:r>
          </w:p>
        </w:tc>
        <w:tc>
          <w:tcPr>
            <w:tcW w:w="1932" w:type="dxa"/>
            <w:gridSpan w:val="3"/>
            <w:vAlign w:val="center"/>
          </w:tcPr>
          <w:p>
            <w:pPr>
              <w:pStyle w:val="66"/>
              <w:ind w:firstLine="0" w:firstLineChars="0"/>
              <w:jc w:val="center"/>
              <w:rPr>
                <w:rFonts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84" w:type="dxa"/>
            <w:gridSpan w:val="2"/>
            <w:vAlign w:val="center"/>
          </w:tcPr>
          <w:p>
            <w:pPr>
              <w:pStyle w:val="66"/>
              <w:ind w:firstLine="0" w:firstLineChars="0"/>
              <w:jc w:val="center"/>
              <w:rPr>
                <w:rFonts w:hAnsi="宋体"/>
                <w:bCs/>
                <w:sz w:val="18"/>
                <w:szCs w:val="18"/>
              </w:rPr>
            </w:pPr>
            <w:r>
              <w:rPr>
                <w:rFonts w:hint="eastAsia" w:hAnsi="宋体"/>
                <w:bCs/>
                <w:sz w:val="18"/>
                <w:szCs w:val="18"/>
              </w:rPr>
              <w:t>备注</w:t>
            </w:r>
          </w:p>
        </w:tc>
        <w:tc>
          <w:tcPr>
            <w:tcW w:w="8140" w:type="dxa"/>
            <w:gridSpan w:val="12"/>
            <w:vAlign w:val="center"/>
          </w:tcPr>
          <w:p>
            <w:pPr>
              <w:pStyle w:val="66"/>
              <w:ind w:firstLine="0" w:firstLineChars="0"/>
              <w:jc w:val="center"/>
              <w:rPr>
                <w:rFonts w:hAnsi="宋体"/>
                <w:bCs/>
                <w:sz w:val="18"/>
                <w:szCs w:val="18"/>
              </w:rPr>
            </w:pPr>
          </w:p>
        </w:tc>
      </w:tr>
    </w:tbl>
    <w:p>
      <w:pPr>
        <w:pStyle w:val="66"/>
        <w:spacing w:beforeLines="10"/>
        <w:ind w:firstLine="0" w:firstLineChars="0"/>
        <w:rPr>
          <w:rFonts w:hAnsi="宋体"/>
          <w:szCs w:val="18"/>
        </w:rPr>
      </w:pPr>
      <w:r>
        <w:rPr>
          <w:rFonts w:hint="eastAsia" w:ascii="黑体" w:hAnsi="宋体" w:eastAsia="黑体"/>
          <w:sz w:val="18"/>
          <w:szCs w:val="18"/>
        </w:rPr>
        <w:t>注：</w:t>
      </w:r>
      <w:r>
        <w:rPr>
          <w:rFonts w:hint="eastAsia" w:hAnsi="宋体"/>
          <w:sz w:val="18"/>
          <w:szCs w:val="18"/>
        </w:rPr>
        <w:t>调查内容有选项的，在所选项上划“√”；调查方式为实地、信函调查时，用户应签字。</w:t>
      </w:r>
    </w:p>
    <w:p>
      <w:pPr>
        <w:pStyle w:val="66"/>
        <w:spacing w:beforeLines="50" w:afterLines="50"/>
        <w:ind w:right="420" w:firstLine="0" w:firstLineChars="0"/>
        <w:contextualSpacing/>
        <w:jc w:val="center"/>
        <w:rPr>
          <w:rFonts w:ascii="黑体" w:hAnsi="黑体" w:eastAsia="黑体"/>
        </w:rPr>
      </w:pPr>
    </w:p>
    <w:sectPr>
      <w:headerReference r:id="rId15" w:type="default"/>
      <w:footerReference r:id="rId16" w:type="default"/>
      <w:pgSz w:w="11907" w:h="16839"/>
      <w:pgMar w:top="1418" w:right="1134" w:bottom="1134" w:left="1418" w:header="1304" w:footer="102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Style w:val="32"/>
      </w:rPr>
    </w:pPr>
    <w:r>
      <w:rPr>
        <w:rStyle w:val="32"/>
      </w:rPr>
      <w:fldChar w:fldCharType="begin"/>
    </w:r>
    <w:r>
      <w:rPr>
        <w:rStyle w:val="32"/>
      </w:rPr>
      <w:instrText xml:space="preserve">PAGE  </w:instrText>
    </w:r>
    <w:r>
      <w:rPr>
        <w:rStyle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rPr>
        <w:rStyle w:val="32"/>
      </w:rPr>
    </w:pPr>
    <w:r>
      <w:rPr>
        <w:rStyle w:val="32"/>
        <w:rFonts w:hint="eastAsia"/>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rPr>
        <w:rStyle w:val="32"/>
      </w:rPr>
    </w:pPr>
    <w:r>
      <w:rPr>
        <w:rStyle w:val="32"/>
      </w:rPr>
      <w:fldChar w:fldCharType="begin"/>
    </w:r>
    <w:r>
      <w:rPr>
        <w:rStyle w:val="32"/>
      </w:rPr>
      <w:instrText xml:space="preserve">PAGE  </w:instrText>
    </w:r>
    <w:r>
      <w:rPr>
        <w:rStyle w:val="32"/>
      </w:rPr>
      <w:fldChar w:fldCharType="separate"/>
    </w:r>
    <w:r>
      <w:rPr>
        <w:rStyle w:val="32"/>
      </w:rPr>
      <w:t>12</w:t>
    </w:r>
    <w:r>
      <w:rPr>
        <w:rStyle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Style w:val="32"/>
        <w:rFonts w:ascii="宋体" w:hAnsi="宋体" w:cs="宋体"/>
      </w:rPr>
    </w:pPr>
    <w:r>
      <w:rPr>
        <w:rStyle w:val="32"/>
        <w:rFonts w:hint="eastAsia" w:ascii="宋体" w:hAnsi="宋体" w:cs="宋体"/>
      </w:rPr>
      <w:t>Ⅱ</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13</w:t>
    </w:r>
    <w:r>
      <w:rPr>
        <w:lang w:val="zh-CN"/>
      </w:rPr>
      <w:fldChar w:fldCharType="end"/>
    </w:r>
  </w:p>
  <w:p>
    <w:pPr>
      <w:pStyle w:val="60"/>
      <w:rPr>
        <w:rStyle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NJT04-2005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NJT04-2005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right"/>
      <w:rPr>
        <w:rFonts w:ascii="黑体" w:hAnsi="黑体" w:eastAsia="黑体"/>
        <w:sz w:val="21"/>
        <w:szCs w:val="21"/>
      </w:rPr>
    </w:pPr>
    <w:r>
      <w:rPr>
        <w:rFonts w:ascii="黑体" w:hAnsi="黑体" w:eastAsia="黑体"/>
        <w:sz w:val="21"/>
        <w:szCs w:val="21"/>
      </w:rPr>
      <w:t xml:space="preserve">DG/T </w:t>
    </w:r>
    <w:r>
      <w:rPr>
        <w:rFonts w:hint="eastAsia" w:ascii="黑体" w:hAnsi="黑体" w:eastAsia="黑体"/>
        <w:sz w:val="21"/>
        <w:szCs w:val="21"/>
      </w:rPr>
      <w:t>XXX</w:t>
    </w:r>
    <w:r>
      <w:rPr>
        <w:rFonts w:ascii="黑体" w:hAnsi="黑体" w:eastAsia="黑体"/>
        <w:sz w:val="21"/>
        <w:szCs w:val="21"/>
      </w:rPr>
      <w:t>-</w:t>
    </w:r>
    <w:r>
      <w:rPr>
        <w:rFonts w:hint="eastAsia" w:ascii="黑体" w:hAnsi="黑体" w:eastAsia="黑体"/>
        <w:sz w:val="21"/>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right="420"/>
      <w:rPr>
        <w:rFonts w:ascii="黑体" w:hAnsi="黑体" w:eastAsia="黑体"/>
        <w:sz w:val="21"/>
        <w:szCs w:val="21"/>
      </w:rPr>
    </w:pPr>
    <w:r>
      <w:rPr>
        <w:rFonts w:ascii="黑体" w:hAnsi="黑体" w:eastAsia="黑体"/>
        <w:sz w:val="21"/>
        <w:szCs w:val="21"/>
      </w:rPr>
      <w:t xml:space="preserve">DG/T </w:t>
    </w:r>
    <w:r>
      <w:rPr>
        <w:rFonts w:hint="eastAsia" w:ascii="黑体" w:hAnsi="黑体" w:eastAsia="黑体"/>
        <w:sz w:val="21"/>
        <w:szCs w:val="21"/>
      </w:rPr>
      <w:t>XXX</w:t>
    </w:r>
    <w:r>
      <w:rPr>
        <w:rFonts w:ascii="黑体" w:hAnsi="黑体" w:eastAsia="黑体"/>
        <w:sz w:val="21"/>
        <w:szCs w:val="21"/>
      </w:rPr>
      <w:t>-</w:t>
    </w:r>
    <w:r>
      <w:rPr>
        <w:rFonts w:hint="eastAsia" w:ascii="黑体" w:hAnsi="黑体" w:eastAsia="黑体"/>
        <w:sz w:val="21"/>
        <w:szCs w:val="21"/>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right="420"/>
      <w:rPr>
        <w:rFonts w:ascii="黑体" w:hAnsi="黑体" w:eastAsia="黑体"/>
        <w:sz w:val="21"/>
        <w:szCs w:val="21"/>
      </w:rPr>
    </w:pPr>
    <w:r>
      <w:rPr>
        <w:rFonts w:ascii="黑体" w:hAnsi="黑体" w:eastAsia="黑体"/>
        <w:sz w:val="21"/>
        <w:szCs w:val="21"/>
      </w:rPr>
      <w:t xml:space="preserve">DG15/T </w:t>
    </w:r>
    <w:r>
      <w:rPr>
        <w:rFonts w:hint="eastAsia" w:ascii="黑体" w:hAnsi="黑体" w:eastAsia="黑体"/>
        <w:sz w:val="21"/>
        <w:szCs w:val="21"/>
      </w:rPr>
      <w:t>15</w:t>
    </w:r>
    <w:r>
      <w:rPr>
        <w:rFonts w:ascii="黑体" w:hAnsi="黑体" w:eastAsia="黑体"/>
        <w:sz w:val="21"/>
        <w:szCs w:val="21"/>
      </w:rPr>
      <w:t>-</w:t>
    </w:r>
    <w:r>
      <w:rPr>
        <w:rFonts w:hint="eastAsia" w:ascii="黑体" w:hAnsi="黑体" w:eastAsia="黑体"/>
        <w:sz w:val="21"/>
        <w:szCs w:val="21"/>
      </w:rPr>
      <w:t>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right="420"/>
      <w:jc w:val="right"/>
      <w:rPr>
        <w:rFonts w:ascii="黑体" w:hAnsi="黑体" w:eastAsia="黑体"/>
        <w:sz w:val="21"/>
        <w:szCs w:val="21"/>
      </w:rPr>
    </w:pPr>
    <w:r>
      <w:rPr>
        <w:rFonts w:ascii="黑体" w:hAnsi="黑体" w:eastAsia="黑体"/>
        <w:sz w:val="21"/>
        <w:szCs w:val="21"/>
      </w:rPr>
      <w:t xml:space="preserve">DG/T </w:t>
    </w:r>
    <w:r>
      <w:rPr>
        <w:rFonts w:hint="eastAsia" w:ascii="黑体" w:hAnsi="黑体" w:eastAsia="黑体"/>
        <w:sz w:val="21"/>
        <w:szCs w:val="21"/>
      </w:rPr>
      <w:t>XXX</w:t>
    </w:r>
    <w:r>
      <w:rPr>
        <w:rFonts w:ascii="黑体" w:hAnsi="黑体" w:eastAsia="黑体"/>
        <w:sz w:val="21"/>
        <w:szCs w:val="21"/>
      </w:rPr>
      <w:t>-</w:t>
    </w:r>
    <w:r>
      <w:rPr>
        <w:rFonts w:hint="eastAsia" w:ascii="黑体" w:hAnsi="黑体" w:eastAsia="黑体"/>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9B0"/>
    <w:multiLevelType w:val="multilevel"/>
    <w:tmpl w:val="00A609B0"/>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lvlText w:val="4.%3"/>
      <w:lvlJc w:val="left"/>
      <w:rPr>
        <w:rFonts w:hint="eastAsia" w:cs="Times New Roman"/>
        <w:b w:val="0"/>
        <w:i w:val="0"/>
        <w:sz w:val="21"/>
      </w:rPr>
    </w:lvl>
    <w:lvl w:ilvl="3" w:tentative="0">
      <w:start w:val="1"/>
      <w:numFmt w:val="decimal"/>
      <w:pStyle w:val="70"/>
      <w:suff w:val="nothing"/>
      <w:lvlText w:val="5.%3.%4　"/>
      <w:lvlJc w:val="left"/>
      <w:rPr>
        <w:rFonts w:hint="eastAsia" w:ascii="黑体" w:hAnsi="Times New Roman" w:eastAsia="黑体" w:cs="Times New Roman"/>
        <w:b w:val="0"/>
        <w:i w:val="0"/>
        <w:sz w:val="21"/>
      </w:rPr>
    </w:lvl>
    <w:lvl w:ilvl="4" w:tentative="0">
      <w:start w:val="1"/>
      <w:numFmt w:val="decimal"/>
      <w:pStyle w:val="102"/>
      <w:suff w:val="nothing"/>
      <w:lvlText w:val="%15.%3.%4.%5　"/>
      <w:lvlJc w:val="left"/>
      <w:rPr>
        <w:rFonts w:hint="eastAsia" w:ascii="黑体" w:hAnsi="Times New Roman" w:eastAsia="黑体" w:cs="Times New Roman"/>
        <w:b w:val="0"/>
        <w:i w:val="0"/>
        <w:sz w:val="21"/>
      </w:rPr>
    </w:lvl>
    <w:lvl w:ilvl="5" w:tentative="0">
      <w:start w:val="1"/>
      <w:numFmt w:val="decimal"/>
      <w:pStyle w:val="107"/>
      <w:suff w:val="nothing"/>
      <w:lvlText w:val="%1%2.%3.%4.%5.%6　"/>
      <w:lvlJc w:val="left"/>
      <w:rPr>
        <w:rFonts w:hint="eastAsia" w:ascii="黑体" w:hAnsi="Times New Roman" w:eastAsia="黑体" w:cs="Times New Roman"/>
        <w:b w:val="0"/>
        <w:i w:val="0"/>
        <w:sz w:val="21"/>
      </w:rPr>
    </w:lvl>
    <w:lvl w:ilvl="6" w:tentative="0">
      <w:start w:val="1"/>
      <w:numFmt w:val="decimal"/>
      <w:pStyle w:val="11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AE367E9"/>
    <w:multiLevelType w:val="multilevel"/>
    <w:tmpl w:val="0AE367E9"/>
    <w:lvl w:ilvl="0" w:tentative="0">
      <w:start w:val="1"/>
      <w:numFmt w:val="none"/>
      <w:pStyle w:val="104"/>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1B17D88"/>
    <w:multiLevelType w:val="multilevel"/>
    <w:tmpl w:val="31B17D88"/>
    <w:lvl w:ilvl="0" w:tentative="0">
      <w:start w:val="4"/>
      <w:numFmt w:val="decimal"/>
      <w:lvlText w:val="%1"/>
      <w:lvlJc w:val="left"/>
      <w:pPr>
        <w:ind w:left="770" w:hanging="770"/>
      </w:pPr>
      <w:rPr>
        <w:rFonts w:hint="default"/>
      </w:rPr>
    </w:lvl>
    <w:lvl w:ilvl="1" w:tentative="0">
      <w:start w:val="3"/>
      <w:numFmt w:val="decimal"/>
      <w:lvlText w:val="%1.%2"/>
      <w:lvlJc w:val="left"/>
      <w:pPr>
        <w:ind w:left="770" w:hanging="770"/>
      </w:pPr>
      <w:rPr>
        <w:rFonts w:hint="default"/>
      </w:rPr>
    </w:lvl>
    <w:lvl w:ilvl="2" w:tentative="0">
      <w:start w:val="1"/>
      <w:numFmt w:val="decimal"/>
      <w:lvlText w:val="%1.%2.%3"/>
      <w:lvlJc w:val="left"/>
      <w:pPr>
        <w:ind w:left="770" w:hanging="770"/>
      </w:pPr>
      <w:rPr>
        <w:rFonts w:hint="default"/>
      </w:rPr>
    </w:lvl>
    <w:lvl w:ilvl="3" w:tentative="0">
      <w:start w:val="2"/>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3D87A9F"/>
    <w:multiLevelType w:val="multilevel"/>
    <w:tmpl w:val="43D87A9F"/>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46D22D8F"/>
    <w:multiLevelType w:val="multilevel"/>
    <w:tmpl w:val="46D22D8F"/>
    <w:lvl w:ilvl="0" w:tentative="0">
      <w:start w:val="1"/>
      <w:numFmt w:val="none"/>
      <w:pStyle w:val="122"/>
      <w:lvlText w:val="%1◆　"/>
      <w:lvlJc w:val="left"/>
      <w:pPr>
        <w:tabs>
          <w:tab w:val="left" w:pos="960"/>
        </w:tabs>
        <w:ind w:left="917" w:hanging="317"/>
      </w:pPr>
      <w:rPr>
        <w:rFonts w:hint="eastAsia" w:ascii="宋体" w:hAnsi="Times New Roman" w:eastAsia="宋体" w:cs="Times New Roman"/>
        <w:b w:val="0"/>
        <w:i w:val="0"/>
        <w:position w:val="4"/>
        <w:sz w:val="1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96E4D7B"/>
    <w:multiLevelType w:val="multilevel"/>
    <w:tmpl w:val="496E4D7B"/>
    <w:lvl w:ilvl="0" w:tentative="0">
      <w:start w:val="1"/>
      <w:numFmt w:val="none"/>
      <w:pStyle w:val="120"/>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4DE06139"/>
    <w:multiLevelType w:val="multilevel"/>
    <w:tmpl w:val="4DE06139"/>
    <w:lvl w:ilvl="0" w:tentative="0">
      <w:start w:val="5"/>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557C2AF5"/>
    <w:multiLevelType w:val="multilevel"/>
    <w:tmpl w:val="557C2AF5"/>
    <w:lvl w:ilvl="0" w:tentative="0">
      <w:start w:val="1"/>
      <w:numFmt w:val="decimal"/>
      <w:pStyle w:val="118"/>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0">
    <w:nsid w:val="6350366A"/>
    <w:multiLevelType w:val="multilevel"/>
    <w:tmpl w:val="6350366A"/>
    <w:lvl w:ilvl="0" w:tentative="0">
      <w:start w:val="1"/>
      <w:numFmt w:val="none"/>
      <w:pStyle w:val="123"/>
      <w:lvlText w:val="%1●　"/>
      <w:lvlJc w:val="left"/>
      <w:pPr>
        <w:tabs>
          <w:tab w:val="left" w:pos="760"/>
        </w:tabs>
        <w:ind w:left="717" w:hanging="317"/>
      </w:pPr>
      <w:rPr>
        <w:rFonts w:hint="eastAsia" w:ascii="宋体" w:hAnsi="Times New Roman" w:eastAsia="宋体" w:cs="Times New Roman"/>
        <w:b w:val="0"/>
        <w:i w:val="0"/>
        <w:position w:val="4"/>
        <w:sz w:val="13"/>
      </w:rPr>
    </w:lvl>
    <w:lvl w:ilvl="1" w:tentative="0">
      <w:start w:val="1"/>
      <w:numFmt w:val="lowerLetter"/>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46260FA"/>
    <w:multiLevelType w:val="multilevel"/>
    <w:tmpl w:val="646260FA"/>
    <w:lvl w:ilvl="0" w:tentative="0">
      <w:start w:val="1"/>
      <w:numFmt w:val="decimal"/>
      <w:pStyle w:val="117"/>
      <w:suff w:val="nothing"/>
      <w:lvlText w:val="表%1　"/>
      <w:lvlJc w:val="left"/>
      <w:pPr>
        <w:ind w:left="4820"/>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657D3FBC"/>
    <w:multiLevelType w:val="multilevel"/>
    <w:tmpl w:val="657D3FBC"/>
    <w:lvl w:ilvl="0" w:tentative="0">
      <w:start w:val="1"/>
      <w:numFmt w:val="upperLetter"/>
      <w:pStyle w:val="83"/>
      <w:suff w:val="nothing"/>
      <w:lvlText w:val="附　录　%1"/>
      <w:lvlJc w:val="left"/>
      <w:rPr>
        <w:rFonts w:hint="eastAsia" w:ascii="黑体" w:hAnsi="Times New Roman" w:eastAsia="黑体" w:cs="Times New Roman"/>
        <w:b w:val="0"/>
        <w:i w:val="0"/>
        <w:sz w:val="21"/>
      </w:rPr>
    </w:lvl>
    <w:lvl w:ilvl="1" w:tentative="0">
      <w:start w:val="1"/>
      <w:numFmt w:val="decimal"/>
      <w:pStyle w:val="8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86"/>
      <w:suff w:val="nothing"/>
      <w:lvlText w:val="%1.%2.%3　"/>
      <w:lvlJc w:val="left"/>
      <w:rPr>
        <w:rFonts w:hint="eastAsia" w:ascii="黑体" w:hAnsi="Times New Roman" w:eastAsia="黑体" w:cs="Times New Roman"/>
        <w:b w:val="0"/>
        <w:i w:val="0"/>
        <w:sz w:val="21"/>
      </w:rPr>
    </w:lvl>
    <w:lvl w:ilvl="3" w:tentative="0">
      <w:start w:val="1"/>
      <w:numFmt w:val="decimal"/>
      <w:pStyle w:val="87"/>
      <w:suff w:val="nothing"/>
      <w:lvlText w:val="%1.%2.%3.%4　"/>
      <w:lvlJc w:val="left"/>
      <w:rPr>
        <w:rFonts w:hint="eastAsia" w:ascii="黑体" w:hAnsi="Times New Roman" w:eastAsia="黑体" w:cs="Times New Roman"/>
        <w:b w:val="0"/>
        <w:i w:val="0"/>
        <w:sz w:val="21"/>
      </w:rPr>
    </w:lvl>
    <w:lvl w:ilvl="4" w:tentative="0">
      <w:start w:val="1"/>
      <w:numFmt w:val="decimal"/>
      <w:pStyle w:val="88"/>
      <w:suff w:val="nothing"/>
      <w:lvlText w:val="%1.%2.%3.%4.%5　"/>
      <w:lvlJc w:val="left"/>
      <w:rPr>
        <w:rFonts w:hint="eastAsia" w:ascii="黑体" w:hAnsi="Times New Roman" w:eastAsia="黑体" w:cs="Times New Roman"/>
        <w:b w:val="0"/>
        <w:i w:val="0"/>
        <w:sz w:val="21"/>
      </w:rPr>
    </w:lvl>
    <w:lvl w:ilvl="5" w:tentative="0">
      <w:start w:val="1"/>
      <w:numFmt w:val="decimal"/>
      <w:pStyle w:val="89"/>
      <w:suff w:val="nothing"/>
      <w:lvlText w:val="%1.%2.%3.%4.%5.%6　"/>
      <w:lvlJc w:val="left"/>
      <w:rPr>
        <w:rFonts w:hint="eastAsia" w:ascii="黑体" w:hAnsi="Times New Roman" w:eastAsia="黑体" w:cs="Times New Roman"/>
        <w:b w:val="0"/>
        <w:i w:val="0"/>
        <w:sz w:val="21"/>
      </w:rPr>
    </w:lvl>
    <w:lvl w:ilvl="6" w:tentative="0">
      <w:start w:val="1"/>
      <w:numFmt w:val="decimal"/>
      <w:pStyle w:val="9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6AFD41E4"/>
    <w:multiLevelType w:val="multilevel"/>
    <w:tmpl w:val="6AFD41E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6DBF04F4"/>
    <w:multiLevelType w:val="multilevel"/>
    <w:tmpl w:val="6DBF04F4"/>
    <w:lvl w:ilvl="0" w:tentative="0">
      <w:start w:val="1"/>
      <w:numFmt w:val="none"/>
      <w:pStyle w:val="119"/>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3171086"/>
    <w:multiLevelType w:val="multilevel"/>
    <w:tmpl w:val="73171086"/>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76933334"/>
    <w:multiLevelType w:val="multilevel"/>
    <w:tmpl w:val="76933334"/>
    <w:lvl w:ilvl="0" w:tentative="0">
      <w:start w:val="1"/>
      <w:numFmt w:val="none"/>
      <w:pStyle w:val="95"/>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12"/>
  </w:num>
  <w:num w:numId="3">
    <w:abstractNumId w:val="16"/>
  </w:num>
  <w:num w:numId="4">
    <w:abstractNumId w:val="4"/>
  </w:num>
  <w:num w:numId="5">
    <w:abstractNumId w:val="2"/>
  </w:num>
  <w:num w:numId="6">
    <w:abstractNumId w:val="11"/>
  </w:num>
  <w:num w:numId="7">
    <w:abstractNumId w:val="9"/>
  </w:num>
  <w:num w:numId="8">
    <w:abstractNumId w:val="14"/>
  </w:num>
  <w:num w:numId="9">
    <w:abstractNumId w:val="7"/>
  </w:num>
  <w:num w:numId="10">
    <w:abstractNumId w:val="6"/>
  </w:num>
  <w:num w:numId="11">
    <w:abstractNumId w:val="10"/>
  </w:num>
  <w:num w:numId="12">
    <w:abstractNumId w:val="13"/>
  </w:num>
  <w:num w:numId="13">
    <w:abstractNumId w:val="0"/>
  </w:num>
  <w:num w:numId="14">
    <w:abstractNumId w:val="5"/>
  </w:num>
  <w:num w:numId="15">
    <w:abstractNumId w:val="1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7017"/>
    <w:rsid w:val="00000347"/>
    <w:rsid w:val="00002D34"/>
    <w:rsid w:val="000051A4"/>
    <w:rsid w:val="00007EF5"/>
    <w:rsid w:val="0001031B"/>
    <w:rsid w:val="00011379"/>
    <w:rsid w:val="00012CF9"/>
    <w:rsid w:val="0001307F"/>
    <w:rsid w:val="00014DB4"/>
    <w:rsid w:val="00017EB9"/>
    <w:rsid w:val="00022A52"/>
    <w:rsid w:val="00027EAE"/>
    <w:rsid w:val="0003269C"/>
    <w:rsid w:val="0003365C"/>
    <w:rsid w:val="00033882"/>
    <w:rsid w:val="00034712"/>
    <w:rsid w:val="000350FF"/>
    <w:rsid w:val="00035725"/>
    <w:rsid w:val="00037121"/>
    <w:rsid w:val="000419E0"/>
    <w:rsid w:val="00046FB0"/>
    <w:rsid w:val="0005229E"/>
    <w:rsid w:val="00053679"/>
    <w:rsid w:val="00053942"/>
    <w:rsid w:val="00054470"/>
    <w:rsid w:val="00056C09"/>
    <w:rsid w:val="000578A4"/>
    <w:rsid w:val="00057AC2"/>
    <w:rsid w:val="0006006D"/>
    <w:rsid w:val="000613FC"/>
    <w:rsid w:val="00062A40"/>
    <w:rsid w:val="00063C38"/>
    <w:rsid w:val="00064811"/>
    <w:rsid w:val="00065667"/>
    <w:rsid w:val="00065A25"/>
    <w:rsid w:val="0007280D"/>
    <w:rsid w:val="00080AF7"/>
    <w:rsid w:val="00083451"/>
    <w:rsid w:val="00083750"/>
    <w:rsid w:val="00084C40"/>
    <w:rsid w:val="000870CC"/>
    <w:rsid w:val="000952C8"/>
    <w:rsid w:val="00096C59"/>
    <w:rsid w:val="000A16B2"/>
    <w:rsid w:val="000A1C36"/>
    <w:rsid w:val="000A2823"/>
    <w:rsid w:val="000A39BF"/>
    <w:rsid w:val="000A6755"/>
    <w:rsid w:val="000A737B"/>
    <w:rsid w:val="000A757E"/>
    <w:rsid w:val="000A7826"/>
    <w:rsid w:val="000B0608"/>
    <w:rsid w:val="000B3756"/>
    <w:rsid w:val="000B4D38"/>
    <w:rsid w:val="000B73E0"/>
    <w:rsid w:val="000C0267"/>
    <w:rsid w:val="000C103A"/>
    <w:rsid w:val="000C1295"/>
    <w:rsid w:val="000C29C9"/>
    <w:rsid w:val="000C4D87"/>
    <w:rsid w:val="000C4E3C"/>
    <w:rsid w:val="000C6089"/>
    <w:rsid w:val="000C6FE9"/>
    <w:rsid w:val="000D0590"/>
    <w:rsid w:val="000D059F"/>
    <w:rsid w:val="000D1A3F"/>
    <w:rsid w:val="000D1AF6"/>
    <w:rsid w:val="000D7ACB"/>
    <w:rsid w:val="000E3694"/>
    <w:rsid w:val="000E45F4"/>
    <w:rsid w:val="000E5504"/>
    <w:rsid w:val="000F07F8"/>
    <w:rsid w:val="000F0EA3"/>
    <w:rsid w:val="000F1DE9"/>
    <w:rsid w:val="000F4B98"/>
    <w:rsid w:val="000F74F4"/>
    <w:rsid w:val="001007FF"/>
    <w:rsid w:val="001040A2"/>
    <w:rsid w:val="00104C04"/>
    <w:rsid w:val="00105067"/>
    <w:rsid w:val="00106E2A"/>
    <w:rsid w:val="0011363D"/>
    <w:rsid w:val="00115F73"/>
    <w:rsid w:val="001175A0"/>
    <w:rsid w:val="00117889"/>
    <w:rsid w:val="00117AC0"/>
    <w:rsid w:val="00121D7C"/>
    <w:rsid w:val="00123DCF"/>
    <w:rsid w:val="00126733"/>
    <w:rsid w:val="00130418"/>
    <w:rsid w:val="00130A2B"/>
    <w:rsid w:val="00132AFC"/>
    <w:rsid w:val="00134215"/>
    <w:rsid w:val="001344F0"/>
    <w:rsid w:val="00136C20"/>
    <w:rsid w:val="001370A7"/>
    <w:rsid w:val="00141053"/>
    <w:rsid w:val="001425F4"/>
    <w:rsid w:val="001461A2"/>
    <w:rsid w:val="00146812"/>
    <w:rsid w:val="001533D7"/>
    <w:rsid w:val="00154B37"/>
    <w:rsid w:val="00156955"/>
    <w:rsid w:val="00160BA6"/>
    <w:rsid w:val="0016119D"/>
    <w:rsid w:val="0016457C"/>
    <w:rsid w:val="001656CF"/>
    <w:rsid w:val="00173CD0"/>
    <w:rsid w:val="00176A36"/>
    <w:rsid w:val="00177279"/>
    <w:rsid w:val="001817CC"/>
    <w:rsid w:val="00185409"/>
    <w:rsid w:val="00185F21"/>
    <w:rsid w:val="0019156F"/>
    <w:rsid w:val="0019418C"/>
    <w:rsid w:val="001963E9"/>
    <w:rsid w:val="001A0E05"/>
    <w:rsid w:val="001A1AE8"/>
    <w:rsid w:val="001A774D"/>
    <w:rsid w:val="001B1B27"/>
    <w:rsid w:val="001B21D4"/>
    <w:rsid w:val="001B7B76"/>
    <w:rsid w:val="001C2A96"/>
    <w:rsid w:val="001C37B8"/>
    <w:rsid w:val="001C4E29"/>
    <w:rsid w:val="001C55B1"/>
    <w:rsid w:val="001D3CD3"/>
    <w:rsid w:val="001D4F45"/>
    <w:rsid w:val="001D6814"/>
    <w:rsid w:val="001D6978"/>
    <w:rsid w:val="001E1E2B"/>
    <w:rsid w:val="001E1F71"/>
    <w:rsid w:val="001E4EC5"/>
    <w:rsid w:val="001E5702"/>
    <w:rsid w:val="001E5CBB"/>
    <w:rsid w:val="001E7F9E"/>
    <w:rsid w:val="001F1877"/>
    <w:rsid w:val="001F25C9"/>
    <w:rsid w:val="001F35D5"/>
    <w:rsid w:val="001F6308"/>
    <w:rsid w:val="00215955"/>
    <w:rsid w:val="00217A88"/>
    <w:rsid w:val="002212E1"/>
    <w:rsid w:val="0022272F"/>
    <w:rsid w:val="00224EFF"/>
    <w:rsid w:val="0022542F"/>
    <w:rsid w:val="00226139"/>
    <w:rsid w:val="00233482"/>
    <w:rsid w:val="00241AB0"/>
    <w:rsid w:val="00241E05"/>
    <w:rsid w:val="00245732"/>
    <w:rsid w:val="00246A70"/>
    <w:rsid w:val="00246CA5"/>
    <w:rsid w:val="0025468B"/>
    <w:rsid w:val="002549D5"/>
    <w:rsid w:val="002604C7"/>
    <w:rsid w:val="0026099B"/>
    <w:rsid w:val="00260D91"/>
    <w:rsid w:val="00262960"/>
    <w:rsid w:val="002632E4"/>
    <w:rsid w:val="0026370D"/>
    <w:rsid w:val="0026382D"/>
    <w:rsid w:val="0026392C"/>
    <w:rsid w:val="00264DCA"/>
    <w:rsid w:val="002665E6"/>
    <w:rsid w:val="00271931"/>
    <w:rsid w:val="00272B05"/>
    <w:rsid w:val="00274D7A"/>
    <w:rsid w:val="00276BEA"/>
    <w:rsid w:val="00276D6B"/>
    <w:rsid w:val="00282668"/>
    <w:rsid w:val="00283377"/>
    <w:rsid w:val="00284AFE"/>
    <w:rsid w:val="00287FDF"/>
    <w:rsid w:val="002904A4"/>
    <w:rsid w:val="00290970"/>
    <w:rsid w:val="00291268"/>
    <w:rsid w:val="00291D43"/>
    <w:rsid w:val="002920DA"/>
    <w:rsid w:val="0029525B"/>
    <w:rsid w:val="002A3563"/>
    <w:rsid w:val="002A398D"/>
    <w:rsid w:val="002A3DEA"/>
    <w:rsid w:val="002A448D"/>
    <w:rsid w:val="002A52AC"/>
    <w:rsid w:val="002A68AD"/>
    <w:rsid w:val="002B416F"/>
    <w:rsid w:val="002B607A"/>
    <w:rsid w:val="002C2344"/>
    <w:rsid w:val="002C7022"/>
    <w:rsid w:val="002D0AB4"/>
    <w:rsid w:val="002D0F07"/>
    <w:rsid w:val="002D1067"/>
    <w:rsid w:val="002D35B7"/>
    <w:rsid w:val="002D3E2A"/>
    <w:rsid w:val="002D42DC"/>
    <w:rsid w:val="002D4EE4"/>
    <w:rsid w:val="002D5D9E"/>
    <w:rsid w:val="002E13F2"/>
    <w:rsid w:val="002E381C"/>
    <w:rsid w:val="002E4E8D"/>
    <w:rsid w:val="002F09E6"/>
    <w:rsid w:val="002F180B"/>
    <w:rsid w:val="002F59EB"/>
    <w:rsid w:val="00300DE0"/>
    <w:rsid w:val="0030203E"/>
    <w:rsid w:val="00303F9F"/>
    <w:rsid w:val="003049D6"/>
    <w:rsid w:val="003068F5"/>
    <w:rsid w:val="00307051"/>
    <w:rsid w:val="00311141"/>
    <w:rsid w:val="00312EBD"/>
    <w:rsid w:val="00312F3B"/>
    <w:rsid w:val="00314E2C"/>
    <w:rsid w:val="00316816"/>
    <w:rsid w:val="003209A7"/>
    <w:rsid w:val="00323C86"/>
    <w:rsid w:val="003275A4"/>
    <w:rsid w:val="00337229"/>
    <w:rsid w:val="0034024C"/>
    <w:rsid w:val="00341B63"/>
    <w:rsid w:val="00344E36"/>
    <w:rsid w:val="003517CF"/>
    <w:rsid w:val="003560CE"/>
    <w:rsid w:val="00356B1A"/>
    <w:rsid w:val="003577CF"/>
    <w:rsid w:val="003629D8"/>
    <w:rsid w:val="0036347F"/>
    <w:rsid w:val="0036511F"/>
    <w:rsid w:val="003652D6"/>
    <w:rsid w:val="003653C5"/>
    <w:rsid w:val="003666BA"/>
    <w:rsid w:val="00367AB1"/>
    <w:rsid w:val="00373312"/>
    <w:rsid w:val="0037369E"/>
    <w:rsid w:val="003738B8"/>
    <w:rsid w:val="003741D3"/>
    <w:rsid w:val="0037513D"/>
    <w:rsid w:val="00376961"/>
    <w:rsid w:val="00376ED9"/>
    <w:rsid w:val="00381627"/>
    <w:rsid w:val="00382153"/>
    <w:rsid w:val="00384037"/>
    <w:rsid w:val="00384801"/>
    <w:rsid w:val="00385535"/>
    <w:rsid w:val="0039013F"/>
    <w:rsid w:val="00391FF2"/>
    <w:rsid w:val="003921FB"/>
    <w:rsid w:val="003964B6"/>
    <w:rsid w:val="003A1209"/>
    <w:rsid w:val="003A412D"/>
    <w:rsid w:val="003A4703"/>
    <w:rsid w:val="003A4A17"/>
    <w:rsid w:val="003A57AA"/>
    <w:rsid w:val="003A6217"/>
    <w:rsid w:val="003A63FF"/>
    <w:rsid w:val="003B130D"/>
    <w:rsid w:val="003B6C82"/>
    <w:rsid w:val="003B7CC3"/>
    <w:rsid w:val="003C320A"/>
    <w:rsid w:val="003C37DD"/>
    <w:rsid w:val="003C5D99"/>
    <w:rsid w:val="003C6D43"/>
    <w:rsid w:val="003C7651"/>
    <w:rsid w:val="003D3421"/>
    <w:rsid w:val="003D388A"/>
    <w:rsid w:val="003E074D"/>
    <w:rsid w:val="003E432F"/>
    <w:rsid w:val="003F0894"/>
    <w:rsid w:val="003F2113"/>
    <w:rsid w:val="003F32F6"/>
    <w:rsid w:val="003F46A6"/>
    <w:rsid w:val="003F6BAB"/>
    <w:rsid w:val="003F7482"/>
    <w:rsid w:val="004035C2"/>
    <w:rsid w:val="004054BE"/>
    <w:rsid w:val="00406456"/>
    <w:rsid w:val="0040732C"/>
    <w:rsid w:val="004111D7"/>
    <w:rsid w:val="00411D57"/>
    <w:rsid w:val="00413E43"/>
    <w:rsid w:val="004140E2"/>
    <w:rsid w:val="00415A5E"/>
    <w:rsid w:val="00420B2D"/>
    <w:rsid w:val="00420BFE"/>
    <w:rsid w:val="00421061"/>
    <w:rsid w:val="004218FB"/>
    <w:rsid w:val="00424095"/>
    <w:rsid w:val="0042529A"/>
    <w:rsid w:val="00426B4C"/>
    <w:rsid w:val="00437BEC"/>
    <w:rsid w:val="004402F8"/>
    <w:rsid w:val="00440D36"/>
    <w:rsid w:val="004425B2"/>
    <w:rsid w:val="004519CA"/>
    <w:rsid w:val="004526D1"/>
    <w:rsid w:val="00455FA0"/>
    <w:rsid w:val="004619F7"/>
    <w:rsid w:val="00472045"/>
    <w:rsid w:val="004721F7"/>
    <w:rsid w:val="004805A7"/>
    <w:rsid w:val="00481218"/>
    <w:rsid w:val="00482B4B"/>
    <w:rsid w:val="004830A7"/>
    <w:rsid w:val="00484331"/>
    <w:rsid w:val="00484DFE"/>
    <w:rsid w:val="004906FF"/>
    <w:rsid w:val="00491677"/>
    <w:rsid w:val="00492931"/>
    <w:rsid w:val="004935F4"/>
    <w:rsid w:val="00493EC4"/>
    <w:rsid w:val="004A1039"/>
    <w:rsid w:val="004A44CC"/>
    <w:rsid w:val="004A495F"/>
    <w:rsid w:val="004A6706"/>
    <w:rsid w:val="004B15C6"/>
    <w:rsid w:val="004B5463"/>
    <w:rsid w:val="004B5803"/>
    <w:rsid w:val="004B65E8"/>
    <w:rsid w:val="004C2971"/>
    <w:rsid w:val="004C34A6"/>
    <w:rsid w:val="004C6013"/>
    <w:rsid w:val="004C74FE"/>
    <w:rsid w:val="004C75AE"/>
    <w:rsid w:val="004C7E1D"/>
    <w:rsid w:val="004D282E"/>
    <w:rsid w:val="004D3234"/>
    <w:rsid w:val="004E087D"/>
    <w:rsid w:val="004E0F0F"/>
    <w:rsid w:val="004E6015"/>
    <w:rsid w:val="004E62EE"/>
    <w:rsid w:val="004E77AE"/>
    <w:rsid w:val="004F0F2D"/>
    <w:rsid w:val="004F1325"/>
    <w:rsid w:val="004F16A0"/>
    <w:rsid w:val="004F2011"/>
    <w:rsid w:val="004F607E"/>
    <w:rsid w:val="005016E0"/>
    <w:rsid w:val="00501E08"/>
    <w:rsid w:val="00501F7A"/>
    <w:rsid w:val="005024F1"/>
    <w:rsid w:val="00504766"/>
    <w:rsid w:val="00511EF6"/>
    <w:rsid w:val="00513448"/>
    <w:rsid w:val="00513D9F"/>
    <w:rsid w:val="00514D07"/>
    <w:rsid w:val="00515561"/>
    <w:rsid w:val="00521EF2"/>
    <w:rsid w:val="00527CCB"/>
    <w:rsid w:val="00530814"/>
    <w:rsid w:val="00530D00"/>
    <w:rsid w:val="005311FD"/>
    <w:rsid w:val="00531D74"/>
    <w:rsid w:val="00532FD6"/>
    <w:rsid w:val="00533749"/>
    <w:rsid w:val="0053633D"/>
    <w:rsid w:val="00537C0F"/>
    <w:rsid w:val="00540B91"/>
    <w:rsid w:val="00543EA1"/>
    <w:rsid w:val="0054402C"/>
    <w:rsid w:val="0054534A"/>
    <w:rsid w:val="00550427"/>
    <w:rsid w:val="00553C4D"/>
    <w:rsid w:val="00554FD5"/>
    <w:rsid w:val="00560AE3"/>
    <w:rsid w:val="005622F9"/>
    <w:rsid w:val="005630D3"/>
    <w:rsid w:val="00564BEB"/>
    <w:rsid w:val="00572A47"/>
    <w:rsid w:val="0057359A"/>
    <w:rsid w:val="00575D84"/>
    <w:rsid w:val="00580239"/>
    <w:rsid w:val="005818EB"/>
    <w:rsid w:val="00585167"/>
    <w:rsid w:val="005851A3"/>
    <w:rsid w:val="00585617"/>
    <w:rsid w:val="00591AA7"/>
    <w:rsid w:val="0059287D"/>
    <w:rsid w:val="00597964"/>
    <w:rsid w:val="00597C86"/>
    <w:rsid w:val="005A41E5"/>
    <w:rsid w:val="005A535B"/>
    <w:rsid w:val="005A5C84"/>
    <w:rsid w:val="005B19E4"/>
    <w:rsid w:val="005B2473"/>
    <w:rsid w:val="005B7ECB"/>
    <w:rsid w:val="005C048C"/>
    <w:rsid w:val="005C16B6"/>
    <w:rsid w:val="005C2147"/>
    <w:rsid w:val="005C2863"/>
    <w:rsid w:val="005C2E7D"/>
    <w:rsid w:val="005C31A7"/>
    <w:rsid w:val="005C4C65"/>
    <w:rsid w:val="005D5194"/>
    <w:rsid w:val="005D564E"/>
    <w:rsid w:val="005D6919"/>
    <w:rsid w:val="005D77E5"/>
    <w:rsid w:val="005E3682"/>
    <w:rsid w:val="005E49CC"/>
    <w:rsid w:val="005E4A12"/>
    <w:rsid w:val="005E5463"/>
    <w:rsid w:val="005E795A"/>
    <w:rsid w:val="005F024E"/>
    <w:rsid w:val="005F3CE2"/>
    <w:rsid w:val="005F70A2"/>
    <w:rsid w:val="006001D4"/>
    <w:rsid w:val="006001E2"/>
    <w:rsid w:val="00601666"/>
    <w:rsid w:val="00602913"/>
    <w:rsid w:val="00604778"/>
    <w:rsid w:val="006071D7"/>
    <w:rsid w:val="0060749D"/>
    <w:rsid w:val="00610A36"/>
    <w:rsid w:val="00611614"/>
    <w:rsid w:val="00611E26"/>
    <w:rsid w:val="00612D39"/>
    <w:rsid w:val="00615192"/>
    <w:rsid w:val="006206E3"/>
    <w:rsid w:val="00624BC6"/>
    <w:rsid w:val="00625564"/>
    <w:rsid w:val="0062652D"/>
    <w:rsid w:val="00631690"/>
    <w:rsid w:val="00631C07"/>
    <w:rsid w:val="006332F7"/>
    <w:rsid w:val="00633F3E"/>
    <w:rsid w:val="00634ED2"/>
    <w:rsid w:val="00637017"/>
    <w:rsid w:val="00637766"/>
    <w:rsid w:val="0064064F"/>
    <w:rsid w:val="0064385B"/>
    <w:rsid w:val="0064394E"/>
    <w:rsid w:val="00644D31"/>
    <w:rsid w:val="006515F7"/>
    <w:rsid w:val="00652DE6"/>
    <w:rsid w:val="00656BA4"/>
    <w:rsid w:val="00656DDB"/>
    <w:rsid w:val="006651DB"/>
    <w:rsid w:val="00670065"/>
    <w:rsid w:val="00672696"/>
    <w:rsid w:val="006740C5"/>
    <w:rsid w:val="0068084A"/>
    <w:rsid w:val="00681B75"/>
    <w:rsid w:val="0068482F"/>
    <w:rsid w:val="00687244"/>
    <w:rsid w:val="00687BBD"/>
    <w:rsid w:val="0069067A"/>
    <w:rsid w:val="006974E8"/>
    <w:rsid w:val="006B1D94"/>
    <w:rsid w:val="006B3545"/>
    <w:rsid w:val="006B4189"/>
    <w:rsid w:val="006B4ADE"/>
    <w:rsid w:val="006B6C1D"/>
    <w:rsid w:val="006B6D05"/>
    <w:rsid w:val="006C0E23"/>
    <w:rsid w:val="006C1BB7"/>
    <w:rsid w:val="006C1CCB"/>
    <w:rsid w:val="006C3F01"/>
    <w:rsid w:val="006C61E2"/>
    <w:rsid w:val="006C61FE"/>
    <w:rsid w:val="006D1EB1"/>
    <w:rsid w:val="006D377D"/>
    <w:rsid w:val="006D66B2"/>
    <w:rsid w:val="006E0B4C"/>
    <w:rsid w:val="006E3E4D"/>
    <w:rsid w:val="006F0188"/>
    <w:rsid w:val="006F3302"/>
    <w:rsid w:val="006F3B90"/>
    <w:rsid w:val="006F6925"/>
    <w:rsid w:val="006F7D77"/>
    <w:rsid w:val="00700205"/>
    <w:rsid w:val="00700342"/>
    <w:rsid w:val="007006C8"/>
    <w:rsid w:val="00704D88"/>
    <w:rsid w:val="00706E60"/>
    <w:rsid w:val="007103B9"/>
    <w:rsid w:val="007127B6"/>
    <w:rsid w:val="00713202"/>
    <w:rsid w:val="00715E0C"/>
    <w:rsid w:val="0072106D"/>
    <w:rsid w:val="007217AF"/>
    <w:rsid w:val="007217DA"/>
    <w:rsid w:val="007237BD"/>
    <w:rsid w:val="007267C7"/>
    <w:rsid w:val="007315EC"/>
    <w:rsid w:val="00731B71"/>
    <w:rsid w:val="0073267F"/>
    <w:rsid w:val="00733764"/>
    <w:rsid w:val="00740D87"/>
    <w:rsid w:val="00741A53"/>
    <w:rsid w:val="00744062"/>
    <w:rsid w:val="007463C5"/>
    <w:rsid w:val="0074767D"/>
    <w:rsid w:val="00752C61"/>
    <w:rsid w:val="00753E02"/>
    <w:rsid w:val="00757FB1"/>
    <w:rsid w:val="007678D1"/>
    <w:rsid w:val="00767930"/>
    <w:rsid w:val="00767ECE"/>
    <w:rsid w:val="007732D8"/>
    <w:rsid w:val="0077465B"/>
    <w:rsid w:val="00775B25"/>
    <w:rsid w:val="00776907"/>
    <w:rsid w:val="007779A9"/>
    <w:rsid w:val="00781B41"/>
    <w:rsid w:val="0078355B"/>
    <w:rsid w:val="007841E3"/>
    <w:rsid w:val="007850D5"/>
    <w:rsid w:val="00785647"/>
    <w:rsid w:val="0078701A"/>
    <w:rsid w:val="00790626"/>
    <w:rsid w:val="00790CC2"/>
    <w:rsid w:val="00791A3D"/>
    <w:rsid w:val="00792004"/>
    <w:rsid w:val="0079380C"/>
    <w:rsid w:val="00794113"/>
    <w:rsid w:val="007966E3"/>
    <w:rsid w:val="007A035D"/>
    <w:rsid w:val="007A0413"/>
    <w:rsid w:val="007A334F"/>
    <w:rsid w:val="007A4B20"/>
    <w:rsid w:val="007A7D39"/>
    <w:rsid w:val="007B1BF5"/>
    <w:rsid w:val="007B22F9"/>
    <w:rsid w:val="007B5A24"/>
    <w:rsid w:val="007C09B3"/>
    <w:rsid w:val="007C1A78"/>
    <w:rsid w:val="007C1E48"/>
    <w:rsid w:val="007C276B"/>
    <w:rsid w:val="007D23AA"/>
    <w:rsid w:val="007D7BC9"/>
    <w:rsid w:val="007D7DF0"/>
    <w:rsid w:val="007E2A03"/>
    <w:rsid w:val="007E6D31"/>
    <w:rsid w:val="007E7A26"/>
    <w:rsid w:val="007E7DD6"/>
    <w:rsid w:val="007F0C25"/>
    <w:rsid w:val="007F2580"/>
    <w:rsid w:val="007F33B1"/>
    <w:rsid w:val="007F3AA2"/>
    <w:rsid w:val="007F4F2F"/>
    <w:rsid w:val="00800589"/>
    <w:rsid w:val="00802AAA"/>
    <w:rsid w:val="00802AEB"/>
    <w:rsid w:val="00802F50"/>
    <w:rsid w:val="00815634"/>
    <w:rsid w:val="008159B6"/>
    <w:rsid w:val="0082024D"/>
    <w:rsid w:val="00821595"/>
    <w:rsid w:val="00821A82"/>
    <w:rsid w:val="00821C17"/>
    <w:rsid w:val="008233BD"/>
    <w:rsid w:val="00823B20"/>
    <w:rsid w:val="00823B4E"/>
    <w:rsid w:val="008251F1"/>
    <w:rsid w:val="00825988"/>
    <w:rsid w:val="00833523"/>
    <w:rsid w:val="00843A5B"/>
    <w:rsid w:val="008454B6"/>
    <w:rsid w:val="00850741"/>
    <w:rsid w:val="00851353"/>
    <w:rsid w:val="00852C6A"/>
    <w:rsid w:val="00861799"/>
    <w:rsid w:val="00861BC1"/>
    <w:rsid w:val="0086379E"/>
    <w:rsid w:val="008644CC"/>
    <w:rsid w:val="00865EF7"/>
    <w:rsid w:val="00865F33"/>
    <w:rsid w:val="00871AEE"/>
    <w:rsid w:val="00874415"/>
    <w:rsid w:val="00874D75"/>
    <w:rsid w:val="00876914"/>
    <w:rsid w:val="00883402"/>
    <w:rsid w:val="00884746"/>
    <w:rsid w:val="0089043D"/>
    <w:rsid w:val="00891A94"/>
    <w:rsid w:val="008925E3"/>
    <w:rsid w:val="00893E09"/>
    <w:rsid w:val="00894512"/>
    <w:rsid w:val="008974DB"/>
    <w:rsid w:val="008975A9"/>
    <w:rsid w:val="00897B6D"/>
    <w:rsid w:val="008A1C40"/>
    <w:rsid w:val="008A43EC"/>
    <w:rsid w:val="008A4833"/>
    <w:rsid w:val="008A5404"/>
    <w:rsid w:val="008A58F2"/>
    <w:rsid w:val="008A63D3"/>
    <w:rsid w:val="008A643F"/>
    <w:rsid w:val="008A7A9B"/>
    <w:rsid w:val="008B03CF"/>
    <w:rsid w:val="008B1601"/>
    <w:rsid w:val="008B4E0B"/>
    <w:rsid w:val="008B6891"/>
    <w:rsid w:val="008B793D"/>
    <w:rsid w:val="008C01A8"/>
    <w:rsid w:val="008C1FFB"/>
    <w:rsid w:val="008C51E3"/>
    <w:rsid w:val="008D0154"/>
    <w:rsid w:val="008D2C11"/>
    <w:rsid w:val="008D351A"/>
    <w:rsid w:val="008D3BE6"/>
    <w:rsid w:val="008E143C"/>
    <w:rsid w:val="008E1DB8"/>
    <w:rsid w:val="008E253F"/>
    <w:rsid w:val="008E3BAA"/>
    <w:rsid w:val="008E737B"/>
    <w:rsid w:val="008F0773"/>
    <w:rsid w:val="008F38A4"/>
    <w:rsid w:val="008F4062"/>
    <w:rsid w:val="008F504B"/>
    <w:rsid w:val="008F563C"/>
    <w:rsid w:val="008F6744"/>
    <w:rsid w:val="00904C88"/>
    <w:rsid w:val="009055DE"/>
    <w:rsid w:val="00911860"/>
    <w:rsid w:val="009139A7"/>
    <w:rsid w:val="00916460"/>
    <w:rsid w:val="009167C6"/>
    <w:rsid w:val="00921EAC"/>
    <w:rsid w:val="009273FB"/>
    <w:rsid w:val="00931316"/>
    <w:rsid w:val="00932C91"/>
    <w:rsid w:val="009333E8"/>
    <w:rsid w:val="00935848"/>
    <w:rsid w:val="00936469"/>
    <w:rsid w:val="00940D77"/>
    <w:rsid w:val="00940FE9"/>
    <w:rsid w:val="00941DCD"/>
    <w:rsid w:val="00941E28"/>
    <w:rsid w:val="00944105"/>
    <w:rsid w:val="00944885"/>
    <w:rsid w:val="00945880"/>
    <w:rsid w:val="0095005F"/>
    <w:rsid w:val="009558C6"/>
    <w:rsid w:val="00956914"/>
    <w:rsid w:val="00956AE3"/>
    <w:rsid w:val="00961912"/>
    <w:rsid w:val="0096217A"/>
    <w:rsid w:val="00965316"/>
    <w:rsid w:val="00966C1A"/>
    <w:rsid w:val="009674F0"/>
    <w:rsid w:val="00967B8B"/>
    <w:rsid w:val="00970DB8"/>
    <w:rsid w:val="00975527"/>
    <w:rsid w:val="009810A5"/>
    <w:rsid w:val="0098643C"/>
    <w:rsid w:val="00987B6C"/>
    <w:rsid w:val="00990075"/>
    <w:rsid w:val="00990A48"/>
    <w:rsid w:val="0099258E"/>
    <w:rsid w:val="009957E2"/>
    <w:rsid w:val="00997995"/>
    <w:rsid w:val="009A252D"/>
    <w:rsid w:val="009A2A1D"/>
    <w:rsid w:val="009A3D33"/>
    <w:rsid w:val="009B370E"/>
    <w:rsid w:val="009B38E7"/>
    <w:rsid w:val="009B3F9E"/>
    <w:rsid w:val="009B441E"/>
    <w:rsid w:val="009B5F76"/>
    <w:rsid w:val="009B7CA1"/>
    <w:rsid w:val="009C10B0"/>
    <w:rsid w:val="009C2FA1"/>
    <w:rsid w:val="009C4B4E"/>
    <w:rsid w:val="009D144C"/>
    <w:rsid w:val="009D1BAC"/>
    <w:rsid w:val="009D4CA8"/>
    <w:rsid w:val="009D7079"/>
    <w:rsid w:val="009E0E6D"/>
    <w:rsid w:val="009E3A9B"/>
    <w:rsid w:val="009E50B5"/>
    <w:rsid w:val="009E6826"/>
    <w:rsid w:val="009F1D5D"/>
    <w:rsid w:val="009F2727"/>
    <w:rsid w:val="009F38AC"/>
    <w:rsid w:val="009F4E6D"/>
    <w:rsid w:val="009F64D5"/>
    <w:rsid w:val="009F736E"/>
    <w:rsid w:val="00A01099"/>
    <w:rsid w:val="00A02C57"/>
    <w:rsid w:val="00A1084E"/>
    <w:rsid w:val="00A1335F"/>
    <w:rsid w:val="00A1588F"/>
    <w:rsid w:val="00A175CD"/>
    <w:rsid w:val="00A17C81"/>
    <w:rsid w:val="00A17ED8"/>
    <w:rsid w:val="00A30585"/>
    <w:rsid w:val="00A34045"/>
    <w:rsid w:val="00A34789"/>
    <w:rsid w:val="00A349FB"/>
    <w:rsid w:val="00A361C0"/>
    <w:rsid w:val="00A36753"/>
    <w:rsid w:val="00A41224"/>
    <w:rsid w:val="00A41425"/>
    <w:rsid w:val="00A41535"/>
    <w:rsid w:val="00A430EE"/>
    <w:rsid w:val="00A433CD"/>
    <w:rsid w:val="00A43CE6"/>
    <w:rsid w:val="00A476EA"/>
    <w:rsid w:val="00A5081D"/>
    <w:rsid w:val="00A519F7"/>
    <w:rsid w:val="00A546A7"/>
    <w:rsid w:val="00A565D4"/>
    <w:rsid w:val="00A6225A"/>
    <w:rsid w:val="00A628A3"/>
    <w:rsid w:val="00A6641A"/>
    <w:rsid w:val="00A67E2C"/>
    <w:rsid w:val="00A70306"/>
    <w:rsid w:val="00A70FBE"/>
    <w:rsid w:val="00A725C3"/>
    <w:rsid w:val="00A7351F"/>
    <w:rsid w:val="00A7513A"/>
    <w:rsid w:val="00A751A4"/>
    <w:rsid w:val="00A752A5"/>
    <w:rsid w:val="00A75D85"/>
    <w:rsid w:val="00A80B4E"/>
    <w:rsid w:val="00A836E8"/>
    <w:rsid w:val="00A84A00"/>
    <w:rsid w:val="00A87E01"/>
    <w:rsid w:val="00A91ACE"/>
    <w:rsid w:val="00A93E68"/>
    <w:rsid w:val="00AA1270"/>
    <w:rsid w:val="00AA1C9D"/>
    <w:rsid w:val="00AA388F"/>
    <w:rsid w:val="00AA7B76"/>
    <w:rsid w:val="00AA7F42"/>
    <w:rsid w:val="00AB4D03"/>
    <w:rsid w:val="00AB5137"/>
    <w:rsid w:val="00AB7DB4"/>
    <w:rsid w:val="00AC04B8"/>
    <w:rsid w:val="00AC6F06"/>
    <w:rsid w:val="00AC6F59"/>
    <w:rsid w:val="00AD0AB9"/>
    <w:rsid w:val="00AD49EE"/>
    <w:rsid w:val="00AD50AB"/>
    <w:rsid w:val="00AD63E2"/>
    <w:rsid w:val="00AD77E4"/>
    <w:rsid w:val="00AE0498"/>
    <w:rsid w:val="00AE09F4"/>
    <w:rsid w:val="00AE2FEE"/>
    <w:rsid w:val="00AE3CD5"/>
    <w:rsid w:val="00AE7478"/>
    <w:rsid w:val="00AF4953"/>
    <w:rsid w:val="00B00508"/>
    <w:rsid w:val="00B01386"/>
    <w:rsid w:val="00B076C6"/>
    <w:rsid w:val="00B120CC"/>
    <w:rsid w:val="00B1310E"/>
    <w:rsid w:val="00B131CB"/>
    <w:rsid w:val="00B160F3"/>
    <w:rsid w:val="00B16D5E"/>
    <w:rsid w:val="00B16EA5"/>
    <w:rsid w:val="00B209D4"/>
    <w:rsid w:val="00B20AEF"/>
    <w:rsid w:val="00B2781F"/>
    <w:rsid w:val="00B315BD"/>
    <w:rsid w:val="00B31AFA"/>
    <w:rsid w:val="00B33E72"/>
    <w:rsid w:val="00B354E0"/>
    <w:rsid w:val="00B3688F"/>
    <w:rsid w:val="00B37079"/>
    <w:rsid w:val="00B41FBA"/>
    <w:rsid w:val="00B45CFC"/>
    <w:rsid w:val="00B46054"/>
    <w:rsid w:val="00B46AF9"/>
    <w:rsid w:val="00B50DD8"/>
    <w:rsid w:val="00B512E9"/>
    <w:rsid w:val="00B56627"/>
    <w:rsid w:val="00B575E3"/>
    <w:rsid w:val="00B608AE"/>
    <w:rsid w:val="00B62E9F"/>
    <w:rsid w:val="00B643AB"/>
    <w:rsid w:val="00B67EED"/>
    <w:rsid w:val="00B7040A"/>
    <w:rsid w:val="00B736A7"/>
    <w:rsid w:val="00B739C7"/>
    <w:rsid w:val="00B75C27"/>
    <w:rsid w:val="00B76D1F"/>
    <w:rsid w:val="00B80F57"/>
    <w:rsid w:val="00B81EAC"/>
    <w:rsid w:val="00B81F97"/>
    <w:rsid w:val="00B8780B"/>
    <w:rsid w:val="00B90863"/>
    <w:rsid w:val="00B94508"/>
    <w:rsid w:val="00B976C1"/>
    <w:rsid w:val="00B97A8B"/>
    <w:rsid w:val="00BA6680"/>
    <w:rsid w:val="00BB14DC"/>
    <w:rsid w:val="00BB3085"/>
    <w:rsid w:val="00BB43D2"/>
    <w:rsid w:val="00BB4CA7"/>
    <w:rsid w:val="00BC0EB1"/>
    <w:rsid w:val="00BC28F7"/>
    <w:rsid w:val="00BC2AE2"/>
    <w:rsid w:val="00BC53D9"/>
    <w:rsid w:val="00BC6B55"/>
    <w:rsid w:val="00BC7371"/>
    <w:rsid w:val="00BC7E67"/>
    <w:rsid w:val="00BD5080"/>
    <w:rsid w:val="00BD5B67"/>
    <w:rsid w:val="00BD5FE8"/>
    <w:rsid w:val="00BD7F95"/>
    <w:rsid w:val="00BE3C3F"/>
    <w:rsid w:val="00BE580D"/>
    <w:rsid w:val="00BE6E2D"/>
    <w:rsid w:val="00BE76CE"/>
    <w:rsid w:val="00C00290"/>
    <w:rsid w:val="00C02A0A"/>
    <w:rsid w:val="00C0311C"/>
    <w:rsid w:val="00C03DC6"/>
    <w:rsid w:val="00C0425A"/>
    <w:rsid w:val="00C04F32"/>
    <w:rsid w:val="00C104E4"/>
    <w:rsid w:val="00C1071A"/>
    <w:rsid w:val="00C1238D"/>
    <w:rsid w:val="00C15F4D"/>
    <w:rsid w:val="00C17022"/>
    <w:rsid w:val="00C208E0"/>
    <w:rsid w:val="00C24130"/>
    <w:rsid w:val="00C26110"/>
    <w:rsid w:val="00C27A2F"/>
    <w:rsid w:val="00C30D63"/>
    <w:rsid w:val="00C3150A"/>
    <w:rsid w:val="00C3286D"/>
    <w:rsid w:val="00C33B14"/>
    <w:rsid w:val="00C34296"/>
    <w:rsid w:val="00C36FC6"/>
    <w:rsid w:val="00C42884"/>
    <w:rsid w:val="00C43028"/>
    <w:rsid w:val="00C431A0"/>
    <w:rsid w:val="00C43F7B"/>
    <w:rsid w:val="00C44806"/>
    <w:rsid w:val="00C44C26"/>
    <w:rsid w:val="00C549DD"/>
    <w:rsid w:val="00C571D3"/>
    <w:rsid w:val="00C66772"/>
    <w:rsid w:val="00C71646"/>
    <w:rsid w:val="00C71703"/>
    <w:rsid w:val="00C72472"/>
    <w:rsid w:val="00C770AA"/>
    <w:rsid w:val="00C81CE9"/>
    <w:rsid w:val="00C83255"/>
    <w:rsid w:val="00C83B26"/>
    <w:rsid w:val="00C867C0"/>
    <w:rsid w:val="00C91E91"/>
    <w:rsid w:val="00C92AF1"/>
    <w:rsid w:val="00C94B90"/>
    <w:rsid w:val="00C95091"/>
    <w:rsid w:val="00CA09F5"/>
    <w:rsid w:val="00CA0EDB"/>
    <w:rsid w:val="00CA24C0"/>
    <w:rsid w:val="00CA28D0"/>
    <w:rsid w:val="00CA74E4"/>
    <w:rsid w:val="00CB2710"/>
    <w:rsid w:val="00CB2FA4"/>
    <w:rsid w:val="00CB345F"/>
    <w:rsid w:val="00CB4B1A"/>
    <w:rsid w:val="00CB7413"/>
    <w:rsid w:val="00CC0B08"/>
    <w:rsid w:val="00CD1CD6"/>
    <w:rsid w:val="00CD75C1"/>
    <w:rsid w:val="00CE1E6B"/>
    <w:rsid w:val="00CF0046"/>
    <w:rsid w:val="00CF1CBD"/>
    <w:rsid w:val="00CF2656"/>
    <w:rsid w:val="00CF3EBE"/>
    <w:rsid w:val="00D00548"/>
    <w:rsid w:val="00D0115B"/>
    <w:rsid w:val="00D0279A"/>
    <w:rsid w:val="00D02E44"/>
    <w:rsid w:val="00D03045"/>
    <w:rsid w:val="00D0435A"/>
    <w:rsid w:val="00D04554"/>
    <w:rsid w:val="00D0621F"/>
    <w:rsid w:val="00D067FE"/>
    <w:rsid w:val="00D12EF3"/>
    <w:rsid w:val="00D153A7"/>
    <w:rsid w:val="00D154B3"/>
    <w:rsid w:val="00D2074F"/>
    <w:rsid w:val="00D20771"/>
    <w:rsid w:val="00D20E79"/>
    <w:rsid w:val="00D2202D"/>
    <w:rsid w:val="00D2203A"/>
    <w:rsid w:val="00D249D0"/>
    <w:rsid w:val="00D26780"/>
    <w:rsid w:val="00D36C57"/>
    <w:rsid w:val="00D370BD"/>
    <w:rsid w:val="00D40838"/>
    <w:rsid w:val="00D42B5C"/>
    <w:rsid w:val="00D42F39"/>
    <w:rsid w:val="00D457F0"/>
    <w:rsid w:val="00D45F6E"/>
    <w:rsid w:val="00D461F7"/>
    <w:rsid w:val="00D464F8"/>
    <w:rsid w:val="00D474CB"/>
    <w:rsid w:val="00D509E8"/>
    <w:rsid w:val="00D51A07"/>
    <w:rsid w:val="00D54FBC"/>
    <w:rsid w:val="00D55B2C"/>
    <w:rsid w:val="00D575E9"/>
    <w:rsid w:val="00D61E3B"/>
    <w:rsid w:val="00D64715"/>
    <w:rsid w:val="00D64CE5"/>
    <w:rsid w:val="00D67249"/>
    <w:rsid w:val="00D7267E"/>
    <w:rsid w:val="00D7302F"/>
    <w:rsid w:val="00D75351"/>
    <w:rsid w:val="00D75673"/>
    <w:rsid w:val="00D773D2"/>
    <w:rsid w:val="00D82D9D"/>
    <w:rsid w:val="00D852DA"/>
    <w:rsid w:val="00D877D1"/>
    <w:rsid w:val="00DA0F4A"/>
    <w:rsid w:val="00DA2399"/>
    <w:rsid w:val="00DA5387"/>
    <w:rsid w:val="00DB1DB5"/>
    <w:rsid w:val="00DB2912"/>
    <w:rsid w:val="00DC0AAA"/>
    <w:rsid w:val="00DC5877"/>
    <w:rsid w:val="00DC5C74"/>
    <w:rsid w:val="00DD134F"/>
    <w:rsid w:val="00DD1352"/>
    <w:rsid w:val="00DD171A"/>
    <w:rsid w:val="00DD585C"/>
    <w:rsid w:val="00DD5EFE"/>
    <w:rsid w:val="00DD6895"/>
    <w:rsid w:val="00DE0F32"/>
    <w:rsid w:val="00DE4D37"/>
    <w:rsid w:val="00DE66DD"/>
    <w:rsid w:val="00DE6E7F"/>
    <w:rsid w:val="00DF046A"/>
    <w:rsid w:val="00DF13E6"/>
    <w:rsid w:val="00DF1E60"/>
    <w:rsid w:val="00DF38E7"/>
    <w:rsid w:val="00DF506A"/>
    <w:rsid w:val="00DF5BDC"/>
    <w:rsid w:val="00DF72B2"/>
    <w:rsid w:val="00DF76E1"/>
    <w:rsid w:val="00DF7FB9"/>
    <w:rsid w:val="00E01FC3"/>
    <w:rsid w:val="00E020B9"/>
    <w:rsid w:val="00E02353"/>
    <w:rsid w:val="00E0516E"/>
    <w:rsid w:val="00E05A4C"/>
    <w:rsid w:val="00E067C5"/>
    <w:rsid w:val="00E07AEF"/>
    <w:rsid w:val="00E147F0"/>
    <w:rsid w:val="00E16EB7"/>
    <w:rsid w:val="00E1714A"/>
    <w:rsid w:val="00E20C40"/>
    <w:rsid w:val="00E20FA0"/>
    <w:rsid w:val="00E22CAA"/>
    <w:rsid w:val="00E27424"/>
    <w:rsid w:val="00E3113A"/>
    <w:rsid w:val="00E3140B"/>
    <w:rsid w:val="00E3254E"/>
    <w:rsid w:val="00E36DBC"/>
    <w:rsid w:val="00E37014"/>
    <w:rsid w:val="00E40964"/>
    <w:rsid w:val="00E45E91"/>
    <w:rsid w:val="00E517E6"/>
    <w:rsid w:val="00E55C49"/>
    <w:rsid w:val="00E56C04"/>
    <w:rsid w:val="00E64FC5"/>
    <w:rsid w:val="00E70581"/>
    <w:rsid w:val="00E71A79"/>
    <w:rsid w:val="00E71FB9"/>
    <w:rsid w:val="00E737F2"/>
    <w:rsid w:val="00E73C92"/>
    <w:rsid w:val="00E75612"/>
    <w:rsid w:val="00E76326"/>
    <w:rsid w:val="00E83091"/>
    <w:rsid w:val="00E85525"/>
    <w:rsid w:val="00E86721"/>
    <w:rsid w:val="00E9337D"/>
    <w:rsid w:val="00E93BF9"/>
    <w:rsid w:val="00E942FE"/>
    <w:rsid w:val="00E9452B"/>
    <w:rsid w:val="00E94A59"/>
    <w:rsid w:val="00E95E38"/>
    <w:rsid w:val="00E96CC9"/>
    <w:rsid w:val="00EA4976"/>
    <w:rsid w:val="00EA4B34"/>
    <w:rsid w:val="00EA5636"/>
    <w:rsid w:val="00EA6423"/>
    <w:rsid w:val="00EA7DE1"/>
    <w:rsid w:val="00EB03D1"/>
    <w:rsid w:val="00EB123C"/>
    <w:rsid w:val="00EB1D40"/>
    <w:rsid w:val="00EB1EFE"/>
    <w:rsid w:val="00EB52C1"/>
    <w:rsid w:val="00EB58DA"/>
    <w:rsid w:val="00EB5EBB"/>
    <w:rsid w:val="00EB6E65"/>
    <w:rsid w:val="00EC1140"/>
    <w:rsid w:val="00EC1BBC"/>
    <w:rsid w:val="00EC6FC7"/>
    <w:rsid w:val="00EC7198"/>
    <w:rsid w:val="00ED0B21"/>
    <w:rsid w:val="00ED3377"/>
    <w:rsid w:val="00ED349A"/>
    <w:rsid w:val="00ED3D73"/>
    <w:rsid w:val="00ED3EF8"/>
    <w:rsid w:val="00ED437D"/>
    <w:rsid w:val="00ED44E5"/>
    <w:rsid w:val="00EE0389"/>
    <w:rsid w:val="00EE0FB2"/>
    <w:rsid w:val="00EE17C4"/>
    <w:rsid w:val="00EE4270"/>
    <w:rsid w:val="00EE57E1"/>
    <w:rsid w:val="00EE59A1"/>
    <w:rsid w:val="00EF0AAE"/>
    <w:rsid w:val="00EF35B2"/>
    <w:rsid w:val="00EF448E"/>
    <w:rsid w:val="00EF486C"/>
    <w:rsid w:val="00F008EA"/>
    <w:rsid w:val="00F0119C"/>
    <w:rsid w:val="00F01E3A"/>
    <w:rsid w:val="00F05010"/>
    <w:rsid w:val="00F0601B"/>
    <w:rsid w:val="00F10AA2"/>
    <w:rsid w:val="00F10F26"/>
    <w:rsid w:val="00F12523"/>
    <w:rsid w:val="00F16396"/>
    <w:rsid w:val="00F2763B"/>
    <w:rsid w:val="00F27902"/>
    <w:rsid w:val="00F303E2"/>
    <w:rsid w:val="00F3173F"/>
    <w:rsid w:val="00F3316B"/>
    <w:rsid w:val="00F3623B"/>
    <w:rsid w:val="00F370F3"/>
    <w:rsid w:val="00F4159D"/>
    <w:rsid w:val="00F4375F"/>
    <w:rsid w:val="00F43E17"/>
    <w:rsid w:val="00F57059"/>
    <w:rsid w:val="00F6171F"/>
    <w:rsid w:val="00F6302E"/>
    <w:rsid w:val="00F65A12"/>
    <w:rsid w:val="00F66204"/>
    <w:rsid w:val="00F708A0"/>
    <w:rsid w:val="00F778DE"/>
    <w:rsid w:val="00F77FF0"/>
    <w:rsid w:val="00F841F4"/>
    <w:rsid w:val="00F84BBA"/>
    <w:rsid w:val="00F90040"/>
    <w:rsid w:val="00F90437"/>
    <w:rsid w:val="00F90F0E"/>
    <w:rsid w:val="00F91507"/>
    <w:rsid w:val="00F9314E"/>
    <w:rsid w:val="00F9535C"/>
    <w:rsid w:val="00F97E93"/>
    <w:rsid w:val="00FA0FAF"/>
    <w:rsid w:val="00FA317B"/>
    <w:rsid w:val="00FA4945"/>
    <w:rsid w:val="00FA5A3B"/>
    <w:rsid w:val="00FA656F"/>
    <w:rsid w:val="00FA6809"/>
    <w:rsid w:val="00FA6E8C"/>
    <w:rsid w:val="00FB5E3C"/>
    <w:rsid w:val="00FB6DA4"/>
    <w:rsid w:val="00FB7050"/>
    <w:rsid w:val="00FC06F7"/>
    <w:rsid w:val="00FC1851"/>
    <w:rsid w:val="00FC1ACD"/>
    <w:rsid w:val="00FC1F4B"/>
    <w:rsid w:val="00FC4507"/>
    <w:rsid w:val="00FC4F50"/>
    <w:rsid w:val="00FD0AE7"/>
    <w:rsid w:val="00FD1512"/>
    <w:rsid w:val="00FD4CBE"/>
    <w:rsid w:val="00FD5BB5"/>
    <w:rsid w:val="00FD7B67"/>
    <w:rsid w:val="00FE056B"/>
    <w:rsid w:val="00FE3C9B"/>
    <w:rsid w:val="00FE4CD0"/>
    <w:rsid w:val="00FE60AF"/>
    <w:rsid w:val="00FE75B3"/>
    <w:rsid w:val="00FF0044"/>
    <w:rsid w:val="00FF5530"/>
    <w:rsid w:val="00FF5A56"/>
    <w:rsid w:val="00FF7081"/>
    <w:rsid w:val="03E54424"/>
    <w:rsid w:val="06DD57B4"/>
    <w:rsid w:val="1CAD2564"/>
    <w:rsid w:val="42FA6233"/>
    <w:rsid w:val="6AF71170"/>
    <w:rsid w:val="7BDE1F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semiHidden="0" w:name="toc 4"/>
    <w:lsdException w:qFormat="1" w:unhideWhenUsed="0" w:uiPriority="99" w:name="toc 5"/>
    <w:lsdException w:qFormat="1" w:unhideWhenUsed="0" w:uiPriority="99" w:semiHidden="0" w:name="toc 6"/>
    <w:lsdException w:qFormat="1" w:unhideWhenUsed="0" w:uiPriority="99"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name="footnote text"/>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99"/>
    <w:pPr>
      <w:keepNext/>
      <w:keepLines/>
      <w:spacing w:before="260" w:after="260" w:line="416" w:lineRule="auto"/>
      <w:outlineLvl w:val="2"/>
    </w:pPr>
    <w:rPr>
      <w:b/>
      <w:bCs/>
      <w:sz w:val="32"/>
      <w:szCs w:val="32"/>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99"/>
    <w:pPr>
      <w:keepNext/>
      <w:keepLines/>
      <w:spacing w:before="280" w:after="290" w:line="376" w:lineRule="auto"/>
      <w:outlineLvl w:val="4"/>
    </w:pPr>
    <w:rPr>
      <w:b/>
      <w:bCs/>
      <w:sz w:val="28"/>
      <w:szCs w:val="28"/>
    </w:rPr>
  </w:style>
  <w:style w:type="paragraph" w:styleId="7">
    <w:name w:val="heading 6"/>
    <w:basedOn w:val="1"/>
    <w:next w:val="1"/>
    <w:link w:val="50"/>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51"/>
    <w:qFormat/>
    <w:uiPriority w:val="99"/>
    <w:pPr>
      <w:keepNext/>
      <w:keepLines/>
      <w:spacing w:before="240" w:after="64" w:line="320" w:lineRule="auto"/>
      <w:outlineLvl w:val="6"/>
    </w:pPr>
    <w:rPr>
      <w:b/>
      <w:bCs/>
      <w:sz w:val="24"/>
    </w:rPr>
  </w:style>
  <w:style w:type="paragraph" w:styleId="9">
    <w:name w:val="heading 8"/>
    <w:basedOn w:val="1"/>
    <w:next w:val="1"/>
    <w:link w:val="52"/>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53"/>
    <w:qFormat/>
    <w:uiPriority w:val="99"/>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semiHidden/>
    <w:qFormat/>
    <w:uiPriority w:val="99"/>
    <w:pPr>
      <w:tabs>
        <w:tab w:val="right" w:leader="dot" w:pos="9345"/>
      </w:tabs>
    </w:pPr>
  </w:style>
  <w:style w:type="paragraph" w:styleId="12">
    <w:name w:val="toc 6"/>
    <w:basedOn w:val="13"/>
    <w:next w:val="1"/>
    <w:qFormat/>
    <w:uiPriority w:val="99"/>
    <w:pPr>
      <w:tabs>
        <w:tab w:val="right" w:leader="dot" w:pos="9345"/>
      </w:tabs>
    </w:pPr>
  </w:style>
  <w:style w:type="paragraph" w:styleId="13">
    <w:name w:val="toc 5"/>
    <w:basedOn w:val="14"/>
    <w:next w:val="1"/>
    <w:semiHidden/>
    <w:qFormat/>
    <w:uiPriority w:val="99"/>
  </w:style>
  <w:style w:type="paragraph" w:styleId="14">
    <w:name w:val="toc 4"/>
    <w:basedOn w:val="15"/>
    <w:next w:val="1"/>
    <w:qFormat/>
    <w:uiPriority w:val="99"/>
  </w:style>
  <w:style w:type="paragraph" w:styleId="15">
    <w:name w:val="toc 3"/>
    <w:basedOn w:val="16"/>
    <w:next w:val="1"/>
    <w:semiHidden/>
    <w:qFormat/>
    <w:uiPriority w:val="99"/>
  </w:style>
  <w:style w:type="paragraph" w:styleId="16">
    <w:name w:val="toc 2"/>
    <w:basedOn w:val="17"/>
    <w:next w:val="1"/>
    <w:qFormat/>
    <w:uiPriority w:val="99"/>
  </w:style>
  <w:style w:type="paragraph" w:styleId="17">
    <w:name w:val="toc 1"/>
    <w:basedOn w:val="1"/>
    <w:next w:val="1"/>
    <w:qFormat/>
    <w:uiPriority w:val="99"/>
    <w:pPr>
      <w:widowControl/>
    </w:pPr>
    <w:rPr>
      <w:rFonts w:ascii="宋体"/>
      <w:kern w:val="0"/>
      <w:szCs w:val="20"/>
    </w:rPr>
  </w:style>
  <w:style w:type="paragraph" w:styleId="18">
    <w:name w:val="annotation text"/>
    <w:basedOn w:val="1"/>
    <w:semiHidden/>
    <w:unhideWhenUsed/>
    <w:qFormat/>
    <w:locked/>
    <w:uiPriority w:val="99"/>
    <w:pPr>
      <w:jc w:val="left"/>
    </w:pPr>
  </w:style>
  <w:style w:type="paragraph" w:styleId="19">
    <w:name w:val="HTML Address"/>
    <w:basedOn w:val="1"/>
    <w:link w:val="54"/>
    <w:qFormat/>
    <w:uiPriority w:val="99"/>
    <w:rPr>
      <w:i/>
      <w:iCs/>
    </w:rPr>
  </w:style>
  <w:style w:type="paragraph" w:styleId="20">
    <w:name w:val="toc 8"/>
    <w:basedOn w:val="11"/>
    <w:next w:val="1"/>
    <w:qFormat/>
    <w:uiPriority w:val="99"/>
  </w:style>
  <w:style w:type="paragraph" w:styleId="21">
    <w:name w:val="Date"/>
    <w:basedOn w:val="1"/>
    <w:next w:val="1"/>
    <w:link w:val="124"/>
    <w:qFormat/>
    <w:uiPriority w:val="99"/>
    <w:pPr>
      <w:ind w:left="100" w:leftChars="2500"/>
    </w:pPr>
    <w:rPr>
      <w:rFonts w:ascii="宋体"/>
      <w:kern w:val="0"/>
      <w:szCs w:val="20"/>
    </w:rPr>
  </w:style>
  <w:style w:type="paragraph" w:styleId="22">
    <w:name w:val="Balloon Text"/>
    <w:basedOn w:val="1"/>
    <w:link w:val="131"/>
    <w:semiHidden/>
    <w:qFormat/>
    <w:uiPriority w:val="99"/>
    <w:rPr>
      <w:sz w:val="18"/>
      <w:szCs w:val="18"/>
    </w:rPr>
  </w:style>
  <w:style w:type="paragraph" w:styleId="23">
    <w:name w:val="footer"/>
    <w:basedOn w:val="1"/>
    <w:link w:val="114"/>
    <w:qFormat/>
    <w:uiPriority w:val="99"/>
    <w:pPr>
      <w:tabs>
        <w:tab w:val="center" w:pos="4153"/>
        <w:tab w:val="right" w:pos="8306"/>
      </w:tabs>
      <w:snapToGrid w:val="0"/>
      <w:ind w:right="210" w:rightChars="100"/>
      <w:jc w:val="right"/>
    </w:pPr>
    <w:rPr>
      <w:sz w:val="18"/>
      <w:szCs w:val="18"/>
    </w:rPr>
  </w:style>
  <w:style w:type="paragraph" w:styleId="24">
    <w:name w:val="header"/>
    <w:basedOn w:val="1"/>
    <w:link w:val="115"/>
    <w:qFormat/>
    <w:uiPriority w:val="99"/>
    <w:pPr>
      <w:pBdr>
        <w:bottom w:val="single" w:color="auto" w:sz="6" w:space="1"/>
      </w:pBdr>
      <w:tabs>
        <w:tab w:val="center" w:pos="4153"/>
        <w:tab w:val="right" w:pos="8306"/>
      </w:tabs>
      <w:snapToGrid w:val="0"/>
      <w:jc w:val="center"/>
    </w:pPr>
    <w:rPr>
      <w:sz w:val="18"/>
      <w:szCs w:val="18"/>
    </w:rPr>
  </w:style>
  <w:style w:type="paragraph" w:styleId="25">
    <w:name w:val="footnote text"/>
    <w:basedOn w:val="1"/>
    <w:link w:val="94"/>
    <w:semiHidden/>
    <w:qFormat/>
    <w:uiPriority w:val="99"/>
    <w:pPr>
      <w:snapToGrid w:val="0"/>
      <w:jc w:val="left"/>
    </w:pPr>
    <w:rPr>
      <w:sz w:val="18"/>
      <w:szCs w:val="18"/>
    </w:rPr>
  </w:style>
  <w:style w:type="paragraph" w:styleId="26">
    <w:name w:val="toc 9"/>
    <w:basedOn w:val="20"/>
    <w:next w:val="1"/>
    <w:qFormat/>
    <w:uiPriority w:val="99"/>
  </w:style>
  <w:style w:type="paragraph" w:styleId="27">
    <w:name w:val="HTML Preformatted"/>
    <w:basedOn w:val="1"/>
    <w:link w:val="55"/>
    <w:qFormat/>
    <w:uiPriority w:val="99"/>
    <w:rPr>
      <w:rFonts w:ascii="Courier New" w:hAnsi="Courier New" w:cs="Courier New"/>
      <w:sz w:val="20"/>
      <w:szCs w:val="20"/>
    </w:rPr>
  </w:style>
  <w:style w:type="paragraph" w:styleId="28">
    <w:name w:val="Title"/>
    <w:basedOn w:val="1"/>
    <w:link w:val="56"/>
    <w:qFormat/>
    <w:uiPriority w:val="99"/>
    <w:pPr>
      <w:spacing w:before="240" w:after="60"/>
      <w:jc w:val="center"/>
      <w:outlineLvl w:val="0"/>
    </w:pPr>
    <w:rPr>
      <w:rFonts w:ascii="Arial" w:hAnsi="Arial" w:cs="Arial"/>
      <w:b/>
      <w:bCs/>
      <w:sz w:val="32"/>
      <w:szCs w:val="32"/>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page number"/>
    <w:basedOn w:val="31"/>
    <w:qFormat/>
    <w:uiPriority w:val="99"/>
    <w:rPr>
      <w:rFonts w:ascii="Times New Roman" w:hAnsi="Times New Roman" w:eastAsia="宋体" w:cs="Times New Roman"/>
      <w:sz w:val="18"/>
    </w:rPr>
  </w:style>
  <w:style w:type="character" w:styleId="33">
    <w:name w:val="FollowedHyperlink"/>
    <w:basedOn w:val="31"/>
    <w:qFormat/>
    <w:uiPriority w:val="99"/>
    <w:rPr>
      <w:rFonts w:cs="Times New Roman"/>
      <w:color w:val="800080"/>
      <w:u w:val="single"/>
    </w:rPr>
  </w:style>
  <w:style w:type="character" w:styleId="34">
    <w:name w:val="HTML Definition"/>
    <w:basedOn w:val="31"/>
    <w:qFormat/>
    <w:uiPriority w:val="99"/>
    <w:rPr>
      <w:rFonts w:cs="Times New Roman"/>
      <w:i/>
      <w:iCs/>
    </w:rPr>
  </w:style>
  <w:style w:type="character" w:styleId="35">
    <w:name w:val="HTML Typewriter"/>
    <w:basedOn w:val="31"/>
    <w:qFormat/>
    <w:uiPriority w:val="99"/>
    <w:rPr>
      <w:rFonts w:ascii="Courier New" w:hAnsi="Courier New" w:cs="Times New Roman"/>
      <w:sz w:val="20"/>
      <w:szCs w:val="20"/>
    </w:rPr>
  </w:style>
  <w:style w:type="character" w:styleId="36">
    <w:name w:val="HTML Acronym"/>
    <w:basedOn w:val="31"/>
    <w:qFormat/>
    <w:uiPriority w:val="99"/>
    <w:rPr>
      <w:rFonts w:cs="Times New Roman"/>
    </w:rPr>
  </w:style>
  <w:style w:type="character" w:styleId="37">
    <w:name w:val="HTML Variable"/>
    <w:basedOn w:val="31"/>
    <w:qFormat/>
    <w:uiPriority w:val="99"/>
    <w:rPr>
      <w:rFonts w:cs="Times New Roman"/>
      <w:i/>
      <w:iCs/>
    </w:rPr>
  </w:style>
  <w:style w:type="character" w:styleId="38">
    <w:name w:val="Hyperlink"/>
    <w:basedOn w:val="31"/>
    <w:qFormat/>
    <w:uiPriority w:val="99"/>
    <w:rPr>
      <w:rFonts w:ascii="Times New Roman" w:hAnsi="Times New Roman" w:eastAsia="宋体" w:cs="Times New Roman"/>
      <w:color w:val="auto"/>
      <w:spacing w:val="0"/>
      <w:w w:val="100"/>
      <w:position w:val="0"/>
      <w:sz w:val="21"/>
      <w:u w:val="none"/>
      <w:vertAlign w:val="baseline"/>
    </w:rPr>
  </w:style>
  <w:style w:type="character" w:styleId="39">
    <w:name w:val="HTML Code"/>
    <w:basedOn w:val="31"/>
    <w:qFormat/>
    <w:uiPriority w:val="99"/>
    <w:rPr>
      <w:rFonts w:ascii="Courier New" w:hAnsi="Courier New" w:cs="Times New Roman"/>
      <w:sz w:val="20"/>
      <w:szCs w:val="20"/>
    </w:rPr>
  </w:style>
  <w:style w:type="character" w:styleId="40">
    <w:name w:val="annotation reference"/>
    <w:basedOn w:val="31"/>
    <w:semiHidden/>
    <w:unhideWhenUsed/>
    <w:locked/>
    <w:uiPriority w:val="99"/>
    <w:rPr>
      <w:sz w:val="21"/>
      <w:szCs w:val="21"/>
    </w:rPr>
  </w:style>
  <w:style w:type="character" w:styleId="41">
    <w:name w:val="HTML Cite"/>
    <w:basedOn w:val="31"/>
    <w:qFormat/>
    <w:uiPriority w:val="99"/>
    <w:rPr>
      <w:rFonts w:cs="Times New Roman"/>
      <w:i/>
      <w:iCs/>
    </w:rPr>
  </w:style>
  <w:style w:type="character" w:styleId="42">
    <w:name w:val="footnote reference"/>
    <w:basedOn w:val="31"/>
    <w:semiHidden/>
    <w:qFormat/>
    <w:uiPriority w:val="99"/>
    <w:rPr>
      <w:rFonts w:cs="Times New Roman"/>
      <w:vertAlign w:val="superscript"/>
    </w:rPr>
  </w:style>
  <w:style w:type="character" w:styleId="43">
    <w:name w:val="HTML Keyboard"/>
    <w:basedOn w:val="31"/>
    <w:qFormat/>
    <w:uiPriority w:val="99"/>
    <w:rPr>
      <w:rFonts w:ascii="Courier New" w:hAnsi="Courier New" w:cs="Times New Roman"/>
      <w:sz w:val="20"/>
      <w:szCs w:val="20"/>
    </w:rPr>
  </w:style>
  <w:style w:type="character" w:styleId="44">
    <w:name w:val="HTML Sample"/>
    <w:basedOn w:val="31"/>
    <w:qFormat/>
    <w:uiPriority w:val="99"/>
    <w:rPr>
      <w:rFonts w:ascii="Courier New" w:hAnsi="Courier New" w:cs="Times New Roman"/>
    </w:rPr>
  </w:style>
  <w:style w:type="character" w:customStyle="1" w:styleId="45">
    <w:name w:val="标题 1 Char"/>
    <w:basedOn w:val="31"/>
    <w:link w:val="2"/>
    <w:qFormat/>
    <w:locked/>
    <w:uiPriority w:val="99"/>
    <w:rPr>
      <w:rFonts w:cs="Times New Roman"/>
      <w:b/>
      <w:bCs/>
      <w:kern w:val="44"/>
      <w:sz w:val="44"/>
      <w:szCs w:val="44"/>
    </w:rPr>
  </w:style>
  <w:style w:type="character" w:customStyle="1" w:styleId="46">
    <w:name w:val="标题 2 Char"/>
    <w:basedOn w:val="31"/>
    <w:link w:val="3"/>
    <w:qFormat/>
    <w:locked/>
    <w:uiPriority w:val="99"/>
    <w:rPr>
      <w:rFonts w:ascii="Arial" w:hAnsi="Arial" w:eastAsia="黑体" w:cs="Times New Roman"/>
      <w:b/>
      <w:bCs/>
      <w:kern w:val="2"/>
      <w:sz w:val="32"/>
      <w:szCs w:val="32"/>
      <w:lang w:val="en-US" w:eastAsia="zh-CN" w:bidi="ar-SA"/>
    </w:rPr>
  </w:style>
  <w:style w:type="character" w:customStyle="1" w:styleId="47">
    <w:name w:val="标题 3 Char"/>
    <w:basedOn w:val="31"/>
    <w:link w:val="4"/>
    <w:semiHidden/>
    <w:qFormat/>
    <w:locked/>
    <w:uiPriority w:val="99"/>
    <w:rPr>
      <w:rFonts w:cs="Times New Roman"/>
      <w:b/>
      <w:bCs/>
      <w:sz w:val="32"/>
      <w:szCs w:val="32"/>
    </w:rPr>
  </w:style>
  <w:style w:type="character" w:customStyle="1" w:styleId="48">
    <w:name w:val="标题 4 Char"/>
    <w:basedOn w:val="31"/>
    <w:link w:val="5"/>
    <w:semiHidden/>
    <w:qFormat/>
    <w:locked/>
    <w:uiPriority w:val="99"/>
    <w:rPr>
      <w:rFonts w:ascii="Cambria" w:hAnsi="Cambria" w:eastAsia="宋体" w:cs="Times New Roman"/>
      <w:b/>
      <w:bCs/>
      <w:sz w:val="28"/>
      <w:szCs w:val="28"/>
    </w:rPr>
  </w:style>
  <w:style w:type="character" w:customStyle="1" w:styleId="49">
    <w:name w:val="标题 5 Char"/>
    <w:basedOn w:val="31"/>
    <w:link w:val="6"/>
    <w:semiHidden/>
    <w:qFormat/>
    <w:locked/>
    <w:uiPriority w:val="99"/>
    <w:rPr>
      <w:rFonts w:cs="Times New Roman"/>
      <w:b/>
      <w:bCs/>
      <w:sz w:val="28"/>
      <w:szCs w:val="28"/>
    </w:rPr>
  </w:style>
  <w:style w:type="character" w:customStyle="1" w:styleId="50">
    <w:name w:val="标题 6 Char"/>
    <w:basedOn w:val="31"/>
    <w:link w:val="7"/>
    <w:semiHidden/>
    <w:qFormat/>
    <w:locked/>
    <w:uiPriority w:val="99"/>
    <w:rPr>
      <w:rFonts w:ascii="Cambria" w:hAnsi="Cambria" w:eastAsia="宋体" w:cs="Times New Roman"/>
      <w:b/>
      <w:bCs/>
      <w:sz w:val="24"/>
      <w:szCs w:val="24"/>
    </w:rPr>
  </w:style>
  <w:style w:type="character" w:customStyle="1" w:styleId="51">
    <w:name w:val="标题 7 Char"/>
    <w:basedOn w:val="31"/>
    <w:link w:val="8"/>
    <w:semiHidden/>
    <w:qFormat/>
    <w:locked/>
    <w:uiPriority w:val="99"/>
    <w:rPr>
      <w:rFonts w:cs="Times New Roman"/>
      <w:b/>
      <w:bCs/>
      <w:sz w:val="24"/>
      <w:szCs w:val="24"/>
    </w:rPr>
  </w:style>
  <w:style w:type="character" w:customStyle="1" w:styleId="52">
    <w:name w:val="标题 8 Char"/>
    <w:basedOn w:val="31"/>
    <w:link w:val="9"/>
    <w:semiHidden/>
    <w:qFormat/>
    <w:locked/>
    <w:uiPriority w:val="99"/>
    <w:rPr>
      <w:rFonts w:ascii="Cambria" w:hAnsi="Cambria" w:eastAsia="宋体" w:cs="Times New Roman"/>
      <w:sz w:val="24"/>
      <w:szCs w:val="24"/>
    </w:rPr>
  </w:style>
  <w:style w:type="character" w:customStyle="1" w:styleId="53">
    <w:name w:val="标题 9 Char"/>
    <w:basedOn w:val="31"/>
    <w:link w:val="10"/>
    <w:semiHidden/>
    <w:qFormat/>
    <w:locked/>
    <w:uiPriority w:val="99"/>
    <w:rPr>
      <w:rFonts w:ascii="Cambria" w:hAnsi="Cambria" w:eastAsia="宋体" w:cs="Times New Roman"/>
      <w:sz w:val="21"/>
      <w:szCs w:val="21"/>
    </w:rPr>
  </w:style>
  <w:style w:type="character" w:customStyle="1" w:styleId="54">
    <w:name w:val="HTML 地址 Char"/>
    <w:basedOn w:val="31"/>
    <w:link w:val="19"/>
    <w:semiHidden/>
    <w:qFormat/>
    <w:locked/>
    <w:uiPriority w:val="99"/>
    <w:rPr>
      <w:rFonts w:cs="Times New Roman"/>
      <w:i/>
      <w:iCs/>
      <w:sz w:val="24"/>
      <w:szCs w:val="24"/>
    </w:rPr>
  </w:style>
  <w:style w:type="character" w:customStyle="1" w:styleId="55">
    <w:name w:val="HTML 预设格式 Char"/>
    <w:basedOn w:val="31"/>
    <w:link w:val="27"/>
    <w:semiHidden/>
    <w:qFormat/>
    <w:locked/>
    <w:uiPriority w:val="99"/>
    <w:rPr>
      <w:rFonts w:ascii="Courier New" w:hAnsi="Courier New" w:cs="Courier New"/>
      <w:sz w:val="20"/>
      <w:szCs w:val="20"/>
    </w:rPr>
  </w:style>
  <w:style w:type="character" w:customStyle="1" w:styleId="56">
    <w:name w:val="标题 Char"/>
    <w:basedOn w:val="31"/>
    <w:link w:val="28"/>
    <w:qFormat/>
    <w:locked/>
    <w:uiPriority w:val="99"/>
    <w:rPr>
      <w:rFonts w:ascii="Cambria" w:hAnsi="Cambria" w:cs="Times New Roman"/>
      <w:b/>
      <w:bCs/>
      <w:sz w:val="32"/>
      <w:szCs w:val="32"/>
    </w:rPr>
  </w:style>
  <w:style w:type="paragraph" w:customStyle="1" w:styleId="57">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59">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60">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61">
    <w:name w:val="标准书眉_奇数页"/>
    <w:next w:val="1"/>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标准书眉_偶数页"/>
    <w:basedOn w:val="61"/>
    <w:next w:val="1"/>
    <w:qFormat/>
    <w:uiPriority w:val="99"/>
    <w:pPr>
      <w:jc w:val="left"/>
    </w:pPr>
  </w:style>
  <w:style w:type="paragraph" w:customStyle="1" w:styleId="63">
    <w:name w:val="标准书眉一"/>
    <w:uiPriority w:val="0"/>
    <w:pPr>
      <w:jc w:val="both"/>
    </w:pPr>
    <w:rPr>
      <w:rFonts w:ascii="Times New Roman" w:hAnsi="Times New Roman" w:eastAsia="宋体" w:cs="Times New Roman"/>
      <w:lang w:val="en-US" w:eastAsia="zh-CN" w:bidi="ar-SA"/>
    </w:rPr>
  </w:style>
  <w:style w:type="paragraph" w:customStyle="1" w:styleId="64">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参考文献、索引标题"/>
    <w:basedOn w:val="64"/>
    <w:next w:val="1"/>
    <w:qFormat/>
    <w:uiPriority w:val="99"/>
    <w:pPr>
      <w:spacing w:after="200"/>
    </w:pPr>
    <w:rPr>
      <w:sz w:val="21"/>
    </w:rPr>
  </w:style>
  <w:style w:type="paragraph" w:customStyle="1" w:styleId="66">
    <w:name w:val="段"/>
    <w:link w:val="125"/>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章标题"/>
    <w:next w:val="66"/>
    <w:link w:val="126"/>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68">
    <w:name w:val="一级条标题"/>
    <w:basedOn w:val="67"/>
    <w:next w:val="66"/>
    <w:link w:val="127"/>
    <w:qFormat/>
    <w:uiPriority w:val="0"/>
    <w:pPr>
      <w:spacing w:beforeLines="0" w:afterLines="0"/>
      <w:outlineLvl w:val="2"/>
    </w:pPr>
  </w:style>
  <w:style w:type="paragraph" w:customStyle="1" w:styleId="69">
    <w:name w:val="二级条标题"/>
    <w:basedOn w:val="68"/>
    <w:next w:val="66"/>
    <w:link w:val="129"/>
    <w:qFormat/>
    <w:uiPriority w:val="99"/>
    <w:pPr>
      <w:outlineLvl w:val="3"/>
    </w:pPr>
  </w:style>
  <w:style w:type="paragraph" w:customStyle="1" w:styleId="70">
    <w:name w:val="二级无标题条"/>
    <w:basedOn w:val="1"/>
    <w:link w:val="130"/>
    <w:qFormat/>
    <w:uiPriority w:val="99"/>
    <w:pPr>
      <w:numPr>
        <w:ilvl w:val="3"/>
        <w:numId w:val="1"/>
      </w:numPr>
    </w:pPr>
  </w:style>
  <w:style w:type="character" w:customStyle="1" w:styleId="71">
    <w:name w:val="发布"/>
    <w:basedOn w:val="31"/>
    <w:qFormat/>
    <w:uiPriority w:val="99"/>
    <w:rPr>
      <w:rFonts w:ascii="黑体" w:eastAsia="黑体" w:cs="Times New Roman"/>
      <w:spacing w:val="22"/>
      <w:w w:val="100"/>
      <w:position w:val="3"/>
      <w:sz w:val="28"/>
    </w:rPr>
  </w:style>
  <w:style w:type="paragraph" w:customStyle="1" w:styleId="72">
    <w:name w:val="发布部门"/>
    <w:next w:val="66"/>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3">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号2"/>
    <w:basedOn w:val="74"/>
    <w:qFormat/>
    <w:uiPriority w:val="0"/>
    <w:pPr>
      <w:framePr w:w="9138" w:h="1244" w:hRule="exact" w:wrap="around" w:vAnchor="page" w:hAnchor="margin" w:y="2908"/>
      <w:adjustRightInd w:val="0"/>
      <w:spacing w:before="357" w:line="280" w:lineRule="exact"/>
    </w:pPr>
  </w:style>
  <w:style w:type="paragraph" w:customStyle="1" w:styleId="76">
    <w:name w:val="封面标准代替信息"/>
    <w:basedOn w:val="75"/>
    <w:qFormat/>
    <w:uiPriority w:val="99"/>
    <w:pPr>
      <w:framePr/>
      <w:spacing w:before="57"/>
    </w:pPr>
    <w:rPr>
      <w:rFonts w:ascii="宋体"/>
      <w:sz w:val="21"/>
    </w:rPr>
  </w:style>
  <w:style w:type="paragraph" w:customStyle="1" w:styleId="77">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9">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82">
    <w:name w:val="封面正文"/>
    <w:qFormat/>
    <w:uiPriority w:val="99"/>
    <w:pPr>
      <w:jc w:val="both"/>
    </w:pPr>
    <w:rPr>
      <w:rFonts w:ascii="Times New Roman" w:hAnsi="Times New Roman" w:eastAsia="宋体" w:cs="Times New Roman"/>
      <w:lang w:val="en-US" w:eastAsia="zh-CN" w:bidi="ar-SA"/>
    </w:rPr>
  </w:style>
  <w:style w:type="paragraph" w:customStyle="1" w:styleId="83">
    <w:name w:val="附录标识"/>
    <w:basedOn w:val="64"/>
    <w:qFormat/>
    <w:uiPriority w:val="99"/>
    <w:pPr>
      <w:numPr>
        <w:ilvl w:val="0"/>
        <w:numId w:val="2"/>
      </w:numPr>
      <w:tabs>
        <w:tab w:val="left" w:pos="6405"/>
      </w:tabs>
      <w:spacing w:after="200"/>
    </w:pPr>
    <w:rPr>
      <w:sz w:val="21"/>
    </w:rPr>
  </w:style>
  <w:style w:type="paragraph" w:customStyle="1" w:styleId="84">
    <w:name w:val="附录表标题"/>
    <w:next w:val="66"/>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85">
    <w:name w:val="附录章标题"/>
    <w:next w:val="66"/>
    <w:qFormat/>
    <w:uiPriority w:val="99"/>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附录一级条标题"/>
    <w:basedOn w:val="85"/>
    <w:next w:val="66"/>
    <w:qFormat/>
    <w:uiPriority w:val="99"/>
    <w:pPr>
      <w:numPr>
        <w:ilvl w:val="2"/>
      </w:numPr>
      <w:autoSpaceDN w:val="0"/>
      <w:spacing w:beforeLines="0" w:afterLines="0"/>
      <w:outlineLvl w:val="2"/>
    </w:pPr>
  </w:style>
  <w:style w:type="paragraph" w:customStyle="1" w:styleId="87">
    <w:name w:val="附录二级条标题"/>
    <w:basedOn w:val="86"/>
    <w:next w:val="66"/>
    <w:qFormat/>
    <w:uiPriority w:val="99"/>
    <w:pPr>
      <w:numPr>
        <w:ilvl w:val="3"/>
      </w:numPr>
      <w:outlineLvl w:val="3"/>
    </w:pPr>
  </w:style>
  <w:style w:type="paragraph" w:customStyle="1" w:styleId="88">
    <w:name w:val="附录三级条标题"/>
    <w:basedOn w:val="87"/>
    <w:next w:val="66"/>
    <w:qFormat/>
    <w:uiPriority w:val="99"/>
    <w:pPr>
      <w:numPr>
        <w:ilvl w:val="4"/>
      </w:numPr>
      <w:outlineLvl w:val="4"/>
    </w:pPr>
  </w:style>
  <w:style w:type="paragraph" w:customStyle="1" w:styleId="89">
    <w:name w:val="附录四级条标题"/>
    <w:basedOn w:val="88"/>
    <w:next w:val="66"/>
    <w:qFormat/>
    <w:uiPriority w:val="99"/>
    <w:pPr>
      <w:numPr>
        <w:ilvl w:val="5"/>
      </w:numPr>
      <w:outlineLvl w:val="5"/>
    </w:pPr>
  </w:style>
  <w:style w:type="paragraph" w:customStyle="1" w:styleId="90">
    <w:name w:val="附录图标题"/>
    <w:next w:val="66"/>
    <w:qFormat/>
    <w:uiPriority w:val="99"/>
    <w:pPr>
      <w:jc w:val="center"/>
    </w:pPr>
    <w:rPr>
      <w:rFonts w:ascii="黑体" w:hAnsi="Times New Roman" w:eastAsia="黑体" w:cs="Times New Roman"/>
      <w:sz w:val="21"/>
      <w:lang w:val="en-US" w:eastAsia="zh-CN" w:bidi="ar-SA"/>
    </w:rPr>
  </w:style>
  <w:style w:type="paragraph" w:customStyle="1" w:styleId="91">
    <w:name w:val="附录五级条标题"/>
    <w:basedOn w:val="89"/>
    <w:next w:val="66"/>
    <w:qFormat/>
    <w:uiPriority w:val="99"/>
    <w:pPr>
      <w:numPr>
        <w:ilvl w:val="6"/>
      </w:numPr>
      <w:outlineLvl w:val="6"/>
    </w:pPr>
  </w:style>
  <w:style w:type="character" w:customStyle="1" w:styleId="92">
    <w:name w:val="EmailStyle62"/>
    <w:basedOn w:val="31"/>
    <w:qFormat/>
    <w:uiPriority w:val="99"/>
    <w:rPr>
      <w:rFonts w:ascii="Arial" w:hAnsi="Arial" w:eastAsia="宋体" w:cs="Arial"/>
      <w:color w:val="auto"/>
      <w:sz w:val="20"/>
    </w:rPr>
  </w:style>
  <w:style w:type="character" w:customStyle="1" w:styleId="93">
    <w:name w:val="EmailStyle63"/>
    <w:basedOn w:val="31"/>
    <w:qFormat/>
    <w:uiPriority w:val="99"/>
    <w:rPr>
      <w:rFonts w:ascii="Arial" w:hAnsi="Arial" w:eastAsia="宋体" w:cs="Arial"/>
      <w:color w:val="auto"/>
      <w:sz w:val="20"/>
    </w:rPr>
  </w:style>
  <w:style w:type="character" w:customStyle="1" w:styleId="94">
    <w:name w:val="脚注文本 Char"/>
    <w:basedOn w:val="31"/>
    <w:link w:val="25"/>
    <w:semiHidden/>
    <w:qFormat/>
    <w:locked/>
    <w:uiPriority w:val="99"/>
    <w:rPr>
      <w:rFonts w:cs="Times New Roman"/>
      <w:sz w:val="18"/>
      <w:szCs w:val="18"/>
    </w:rPr>
  </w:style>
  <w:style w:type="paragraph" w:customStyle="1" w:styleId="95">
    <w:name w:val="列项——"/>
    <w:qFormat/>
    <w:uiPriority w:val="99"/>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6">
    <w:name w:val="列项·"/>
    <w:link w:val="128"/>
    <w:qFormat/>
    <w:uiPriority w:val="99"/>
    <w:pPr>
      <w:numPr>
        <w:ilvl w:val="0"/>
        <w:numId w:val="4"/>
      </w:numPr>
      <w:tabs>
        <w:tab w:val="left" w:pos="840"/>
        <w:tab w:val="clear" w:pos="1140"/>
      </w:tabs>
      <w:jc w:val="both"/>
    </w:pPr>
    <w:rPr>
      <w:rFonts w:ascii="宋体" w:hAnsi="Times New Roman" w:eastAsia="宋体" w:cs="Times New Roman"/>
      <w:sz w:val="21"/>
      <w:lang w:val="en-US" w:eastAsia="zh-CN" w:bidi="ar-SA"/>
    </w:rPr>
  </w:style>
  <w:style w:type="paragraph" w:customStyle="1" w:styleId="97">
    <w:name w:val="目次、标准名称标题"/>
    <w:basedOn w:val="64"/>
    <w:next w:val="66"/>
    <w:qFormat/>
    <w:uiPriority w:val="99"/>
    <w:pPr>
      <w:spacing w:line="460" w:lineRule="exact"/>
    </w:pPr>
  </w:style>
  <w:style w:type="paragraph" w:customStyle="1" w:styleId="9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99">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00">
    <w:name w:val="其他发布部门"/>
    <w:basedOn w:val="72"/>
    <w:qFormat/>
    <w:uiPriority w:val="99"/>
    <w:pPr>
      <w:framePr/>
      <w:spacing w:line="240" w:lineRule="atLeast"/>
    </w:pPr>
    <w:rPr>
      <w:rFonts w:ascii="黑体" w:eastAsia="黑体"/>
      <w:b w:val="0"/>
    </w:rPr>
  </w:style>
  <w:style w:type="paragraph" w:customStyle="1" w:styleId="101">
    <w:name w:val="三级条标题"/>
    <w:basedOn w:val="69"/>
    <w:next w:val="66"/>
    <w:link w:val="141"/>
    <w:qFormat/>
    <w:uiPriority w:val="99"/>
    <w:pPr>
      <w:outlineLvl w:val="4"/>
    </w:pPr>
  </w:style>
  <w:style w:type="paragraph" w:customStyle="1" w:styleId="102">
    <w:name w:val="三级无标题条"/>
    <w:basedOn w:val="1"/>
    <w:qFormat/>
    <w:uiPriority w:val="99"/>
    <w:pPr>
      <w:numPr>
        <w:ilvl w:val="4"/>
        <w:numId w:val="1"/>
      </w:numPr>
    </w:pPr>
  </w:style>
  <w:style w:type="paragraph" w:customStyle="1" w:styleId="103">
    <w:name w:val="实施日期"/>
    <w:basedOn w:val="73"/>
    <w:qFormat/>
    <w:uiPriority w:val="99"/>
    <w:pPr>
      <w:framePr w:hSpace="0" w:xAlign="right"/>
      <w:jc w:val="right"/>
    </w:pPr>
  </w:style>
  <w:style w:type="paragraph" w:customStyle="1" w:styleId="104">
    <w:name w:val="示例"/>
    <w:next w:val="66"/>
    <w:qFormat/>
    <w:uiPriority w:val="99"/>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5">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06">
    <w:name w:val="四级条标题"/>
    <w:basedOn w:val="101"/>
    <w:next w:val="66"/>
    <w:qFormat/>
    <w:uiPriority w:val="99"/>
    <w:pPr>
      <w:outlineLvl w:val="5"/>
    </w:pPr>
  </w:style>
  <w:style w:type="paragraph" w:customStyle="1" w:styleId="107">
    <w:name w:val="四级无标题条"/>
    <w:basedOn w:val="1"/>
    <w:qFormat/>
    <w:uiPriority w:val="99"/>
    <w:pPr>
      <w:numPr>
        <w:ilvl w:val="5"/>
        <w:numId w:val="1"/>
      </w:numPr>
    </w:pPr>
  </w:style>
  <w:style w:type="paragraph" w:customStyle="1" w:styleId="108">
    <w:name w:val="条文脚注"/>
    <w:basedOn w:val="25"/>
    <w:qFormat/>
    <w:uiPriority w:val="99"/>
    <w:pPr>
      <w:ind w:left="780" w:leftChars="200" w:hanging="360" w:hangingChars="200"/>
      <w:jc w:val="both"/>
    </w:pPr>
    <w:rPr>
      <w:rFonts w:ascii="宋体"/>
    </w:rPr>
  </w:style>
  <w:style w:type="paragraph" w:customStyle="1" w:styleId="109">
    <w:name w:val="图表脚注"/>
    <w:next w:val="66"/>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1">
    <w:name w:val="无标题条"/>
    <w:next w:val="66"/>
    <w:qFormat/>
    <w:uiPriority w:val="99"/>
    <w:pPr>
      <w:jc w:val="both"/>
    </w:pPr>
    <w:rPr>
      <w:rFonts w:ascii="Times New Roman" w:hAnsi="Times New Roman" w:eastAsia="宋体" w:cs="Times New Roman"/>
      <w:sz w:val="21"/>
      <w:lang w:val="en-US" w:eastAsia="zh-CN" w:bidi="ar-SA"/>
    </w:rPr>
  </w:style>
  <w:style w:type="paragraph" w:customStyle="1" w:styleId="112">
    <w:name w:val="五级条标题"/>
    <w:basedOn w:val="106"/>
    <w:next w:val="66"/>
    <w:qFormat/>
    <w:uiPriority w:val="99"/>
    <w:pPr>
      <w:outlineLvl w:val="6"/>
    </w:pPr>
  </w:style>
  <w:style w:type="paragraph" w:customStyle="1" w:styleId="113">
    <w:name w:val="五级无标题条"/>
    <w:basedOn w:val="1"/>
    <w:qFormat/>
    <w:uiPriority w:val="99"/>
    <w:pPr>
      <w:numPr>
        <w:ilvl w:val="6"/>
        <w:numId w:val="1"/>
      </w:numPr>
    </w:pPr>
  </w:style>
  <w:style w:type="character" w:customStyle="1" w:styleId="114">
    <w:name w:val="页脚 Char"/>
    <w:basedOn w:val="31"/>
    <w:link w:val="23"/>
    <w:qFormat/>
    <w:locked/>
    <w:uiPriority w:val="99"/>
    <w:rPr>
      <w:rFonts w:cs="Times New Roman"/>
      <w:kern w:val="2"/>
      <w:sz w:val="18"/>
      <w:szCs w:val="18"/>
    </w:rPr>
  </w:style>
  <w:style w:type="character" w:customStyle="1" w:styleId="115">
    <w:name w:val="页眉 Char"/>
    <w:basedOn w:val="31"/>
    <w:link w:val="24"/>
    <w:qFormat/>
    <w:locked/>
    <w:uiPriority w:val="99"/>
    <w:rPr>
      <w:rFonts w:cs="Times New Roman"/>
      <w:kern w:val="2"/>
      <w:sz w:val="18"/>
      <w:szCs w:val="18"/>
    </w:rPr>
  </w:style>
  <w:style w:type="paragraph" w:customStyle="1" w:styleId="116">
    <w:name w:val="一级无标题条"/>
    <w:basedOn w:val="1"/>
    <w:qFormat/>
    <w:uiPriority w:val="99"/>
  </w:style>
  <w:style w:type="paragraph" w:customStyle="1" w:styleId="117">
    <w:name w:val="正文表标题"/>
    <w:next w:val="66"/>
    <w:link w:val="142"/>
    <w:qFormat/>
    <w:uiPriority w:val="0"/>
    <w:pPr>
      <w:numPr>
        <w:ilvl w:val="0"/>
        <w:numId w:val="6"/>
      </w:numPr>
      <w:jc w:val="center"/>
    </w:pPr>
    <w:rPr>
      <w:rFonts w:ascii="黑体" w:hAnsi="Times New Roman" w:eastAsia="黑体" w:cs="Times New Roman"/>
      <w:sz w:val="21"/>
      <w:szCs w:val="22"/>
      <w:lang w:val="en-US" w:eastAsia="zh-CN" w:bidi="ar-SA"/>
    </w:rPr>
  </w:style>
  <w:style w:type="paragraph" w:customStyle="1" w:styleId="118">
    <w:name w:val="正文图标题"/>
    <w:next w:val="66"/>
    <w:qFormat/>
    <w:uiPriority w:val="99"/>
    <w:pPr>
      <w:numPr>
        <w:ilvl w:val="0"/>
        <w:numId w:val="7"/>
      </w:numPr>
      <w:jc w:val="center"/>
    </w:pPr>
    <w:rPr>
      <w:rFonts w:ascii="黑体" w:hAnsi="Times New Roman" w:eastAsia="黑体" w:cs="Times New Roman"/>
      <w:sz w:val="21"/>
      <w:lang w:val="en-US" w:eastAsia="zh-CN" w:bidi="ar-SA"/>
    </w:rPr>
  </w:style>
  <w:style w:type="paragraph" w:customStyle="1" w:styleId="119">
    <w:name w:val="注："/>
    <w:next w:val="66"/>
    <w:qFormat/>
    <w:uiPriority w:val="99"/>
    <w:pPr>
      <w:widowControl w:val="0"/>
      <w:numPr>
        <w:ilvl w:val="0"/>
        <w:numId w:val="8"/>
      </w:numPr>
      <w:autoSpaceDE w:val="0"/>
      <w:autoSpaceDN w:val="0"/>
      <w:jc w:val="both"/>
    </w:pPr>
    <w:rPr>
      <w:rFonts w:ascii="宋体" w:hAnsi="Times New Roman" w:eastAsia="宋体" w:cs="Times New Roman"/>
      <w:sz w:val="18"/>
      <w:lang w:val="en-US" w:eastAsia="zh-CN" w:bidi="ar-SA"/>
    </w:rPr>
  </w:style>
  <w:style w:type="paragraph" w:customStyle="1" w:styleId="120">
    <w:name w:val="注×："/>
    <w:qFormat/>
    <w:uiPriority w:val="99"/>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2">
    <w:name w:val="列项◆（三级）"/>
    <w:qFormat/>
    <w:uiPriority w:val="99"/>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123">
    <w:name w:val="列项●（二级）"/>
    <w:qFormat/>
    <w:uiPriority w:val="99"/>
    <w:pPr>
      <w:numPr>
        <w:ilvl w:val="0"/>
        <w:numId w:val="11"/>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character" w:customStyle="1" w:styleId="124">
    <w:name w:val="日期 Char"/>
    <w:basedOn w:val="31"/>
    <w:link w:val="21"/>
    <w:semiHidden/>
    <w:qFormat/>
    <w:locked/>
    <w:uiPriority w:val="99"/>
    <w:rPr>
      <w:rFonts w:cs="Times New Roman"/>
      <w:sz w:val="24"/>
      <w:szCs w:val="24"/>
    </w:rPr>
  </w:style>
  <w:style w:type="character" w:customStyle="1" w:styleId="125">
    <w:name w:val="段 Char"/>
    <w:basedOn w:val="31"/>
    <w:link w:val="66"/>
    <w:qFormat/>
    <w:locked/>
    <w:uiPriority w:val="99"/>
    <w:rPr>
      <w:rFonts w:ascii="宋体" w:cs="Times New Roman"/>
      <w:sz w:val="21"/>
      <w:lang w:val="en-US" w:eastAsia="zh-CN" w:bidi="ar-SA"/>
    </w:rPr>
  </w:style>
  <w:style w:type="character" w:customStyle="1" w:styleId="126">
    <w:name w:val="章标题 Char"/>
    <w:basedOn w:val="31"/>
    <w:link w:val="67"/>
    <w:qFormat/>
    <w:locked/>
    <w:uiPriority w:val="99"/>
    <w:rPr>
      <w:rFonts w:ascii="黑体" w:eastAsia="黑体"/>
      <w:sz w:val="21"/>
    </w:rPr>
  </w:style>
  <w:style w:type="character" w:customStyle="1" w:styleId="127">
    <w:name w:val="一级条标题 Char"/>
    <w:basedOn w:val="126"/>
    <w:link w:val="68"/>
    <w:qFormat/>
    <w:locked/>
    <w:uiPriority w:val="0"/>
    <w:rPr>
      <w:rFonts w:ascii="黑体" w:eastAsia="黑体"/>
      <w:sz w:val="21"/>
    </w:rPr>
  </w:style>
  <w:style w:type="character" w:customStyle="1" w:styleId="128">
    <w:name w:val="列项· Char"/>
    <w:basedOn w:val="31"/>
    <w:link w:val="96"/>
    <w:qFormat/>
    <w:locked/>
    <w:uiPriority w:val="99"/>
    <w:rPr>
      <w:rFonts w:ascii="宋体" w:cs="Times New Roman"/>
      <w:sz w:val="21"/>
      <w:lang w:val="en-US" w:eastAsia="zh-CN" w:bidi="ar-SA"/>
    </w:rPr>
  </w:style>
  <w:style w:type="character" w:customStyle="1" w:styleId="129">
    <w:name w:val="二级条标题 Char"/>
    <w:basedOn w:val="127"/>
    <w:link w:val="69"/>
    <w:qFormat/>
    <w:locked/>
    <w:uiPriority w:val="99"/>
    <w:rPr>
      <w:rFonts w:ascii="黑体" w:eastAsia="黑体"/>
      <w:sz w:val="21"/>
    </w:rPr>
  </w:style>
  <w:style w:type="character" w:customStyle="1" w:styleId="130">
    <w:name w:val="二级无标题条 Char"/>
    <w:basedOn w:val="31"/>
    <w:link w:val="70"/>
    <w:qFormat/>
    <w:locked/>
    <w:uiPriority w:val="99"/>
    <w:rPr>
      <w:kern w:val="2"/>
      <w:sz w:val="21"/>
      <w:szCs w:val="24"/>
    </w:rPr>
  </w:style>
  <w:style w:type="character" w:customStyle="1" w:styleId="131">
    <w:name w:val="批注框文本 Char"/>
    <w:basedOn w:val="31"/>
    <w:link w:val="22"/>
    <w:semiHidden/>
    <w:qFormat/>
    <w:locked/>
    <w:uiPriority w:val="99"/>
    <w:rPr>
      <w:rFonts w:cs="Times New Roman"/>
      <w:sz w:val="2"/>
    </w:rPr>
  </w:style>
  <w:style w:type="character" w:customStyle="1" w:styleId="132">
    <w:name w:val="占位符文本1"/>
    <w:basedOn w:val="31"/>
    <w:semiHidden/>
    <w:qFormat/>
    <w:uiPriority w:val="99"/>
    <w:rPr>
      <w:rFonts w:cs="Times New Roman"/>
      <w:color w:val="808080"/>
    </w:rPr>
  </w:style>
  <w:style w:type="paragraph" w:customStyle="1" w:styleId="13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样式1"/>
    <w:basedOn w:val="24"/>
    <w:link w:val="136"/>
    <w:qFormat/>
    <w:uiPriority w:val="99"/>
    <w:pPr>
      <w:pBdr>
        <w:bottom w:val="none" w:color="auto" w:sz="0" w:space="0"/>
      </w:pBdr>
    </w:pPr>
  </w:style>
  <w:style w:type="paragraph" w:customStyle="1" w:styleId="135">
    <w:name w:val="样式2"/>
    <w:basedOn w:val="134"/>
    <w:link w:val="137"/>
    <w:qFormat/>
    <w:uiPriority w:val="99"/>
  </w:style>
  <w:style w:type="character" w:customStyle="1" w:styleId="136">
    <w:name w:val="样式1 Char"/>
    <w:basedOn w:val="115"/>
    <w:link w:val="134"/>
    <w:qFormat/>
    <w:locked/>
    <w:uiPriority w:val="99"/>
    <w:rPr>
      <w:rFonts w:cs="Times New Roman"/>
      <w:kern w:val="2"/>
      <w:sz w:val="18"/>
      <w:szCs w:val="18"/>
    </w:rPr>
  </w:style>
  <w:style w:type="character" w:customStyle="1" w:styleId="137">
    <w:name w:val="样式2 Char"/>
    <w:basedOn w:val="136"/>
    <w:link w:val="135"/>
    <w:qFormat/>
    <w:locked/>
    <w:uiPriority w:val="99"/>
    <w:rPr>
      <w:rFonts w:cs="Times New Roman"/>
      <w:kern w:val="2"/>
      <w:sz w:val="18"/>
      <w:szCs w:val="18"/>
    </w:rPr>
  </w:style>
  <w:style w:type="paragraph" w:customStyle="1" w:styleId="138">
    <w:name w:val="列项——（一级）"/>
    <w:qFormat/>
    <w:uiPriority w:val="99"/>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40">
    <w:name w:val="列出段落1"/>
    <w:basedOn w:val="1"/>
    <w:qFormat/>
    <w:uiPriority w:val="99"/>
    <w:pPr>
      <w:ind w:firstLine="420" w:firstLineChars="200"/>
    </w:pPr>
  </w:style>
  <w:style w:type="character" w:customStyle="1" w:styleId="141">
    <w:name w:val="三级条标题 Char"/>
    <w:basedOn w:val="129"/>
    <w:link w:val="101"/>
    <w:qFormat/>
    <w:locked/>
    <w:uiPriority w:val="0"/>
    <w:rPr>
      <w:rFonts w:ascii="黑体" w:eastAsia="黑体"/>
      <w:sz w:val="21"/>
    </w:rPr>
  </w:style>
  <w:style w:type="character" w:customStyle="1" w:styleId="142">
    <w:name w:val="正文表标题 Char"/>
    <w:link w:val="117"/>
    <w:qFormat/>
    <w:locked/>
    <w:uiPriority w:val="99"/>
    <w:rPr>
      <w:rFonts w:ascii="黑体" w:eastAsia="黑体"/>
      <w:sz w:val="22"/>
    </w:rPr>
  </w:style>
  <w:style w:type="character" w:customStyle="1" w:styleId="143">
    <w:name w:val="占位符文本2"/>
    <w:basedOn w:val="31"/>
    <w:unhideWhenUsed/>
    <w:uiPriority w:val="99"/>
    <w:rPr>
      <w:color w:val="808080"/>
    </w:rPr>
  </w:style>
  <w:style w:type="paragraph" w:customStyle="1" w:styleId="144">
    <w:name w:val="列出段落2"/>
    <w:basedOn w:val="1"/>
    <w:unhideWhenUsed/>
    <w:uiPriority w:val="99"/>
    <w:pPr>
      <w:ind w:firstLine="420" w:firstLineChars="200"/>
    </w:pPr>
  </w:style>
  <w:style w:type="paragraph" w:styleId="145">
    <w:name w:val="List Paragraph"/>
    <w:basedOn w:val="1"/>
    <w:uiPriority w:val="99"/>
    <w:pPr>
      <w:ind w:firstLine="420" w:firstLineChars="200"/>
    </w:pPr>
  </w:style>
  <w:style w:type="paragraph" w:customStyle="1" w:styleId="146">
    <w:name w:val="正文公式编号制表符"/>
    <w:basedOn w:val="66"/>
    <w:next w:val="66"/>
    <w:uiPriority w:val="0"/>
    <w:pPr>
      <w:tabs>
        <w:tab w:val="center" w:pos="4201"/>
        <w:tab w:val="right" w:leader="dot" w:pos="9298"/>
      </w:tabs>
      <w:ind w:firstLine="0" w:firstLineChars="0"/>
    </w:pPr>
    <w:rPr>
      <w:sz w:val="22"/>
    </w:rPr>
  </w:style>
  <w:style w:type="character" w:styleId="147">
    <w:name w:val="Placeholder Text"/>
    <w:basedOn w:val="31"/>
    <w:semiHidden/>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41.bin"/><Relationship Id="rId97" Type="http://schemas.openxmlformats.org/officeDocument/2006/relationships/image" Target="media/image40.wmf"/><Relationship Id="rId96" Type="http://schemas.openxmlformats.org/officeDocument/2006/relationships/oleObject" Target="embeddings/oleObject40.bin"/><Relationship Id="rId95" Type="http://schemas.openxmlformats.org/officeDocument/2006/relationships/image" Target="media/image39.wmf"/><Relationship Id="rId94" Type="http://schemas.openxmlformats.org/officeDocument/2006/relationships/oleObject" Target="embeddings/oleObject39.bin"/><Relationship Id="rId93" Type="http://schemas.openxmlformats.org/officeDocument/2006/relationships/image" Target="media/image38.wmf"/><Relationship Id="rId92" Type="http://schemas.openxmlformats.org/officeDocument/2006/relationships/oleObject" Target="embeddings/oleObject38.bin"/><Relationship Id="rId91" Type="http://schemas.openxmlformats.org/officeDocument/2006/relationships/image" Target="media/image37.wmf"/><Relationship Id="rId90" Type="http://schemas.openxmlformats.org/officeDocument/2006/relationships/oleObject" Target="embeddings/oleObject37.bin"/><Relationship Id="rId9" Type="http://schemas.openxmlformats.org/officeDocument/2006/relationships/header" Target="header4.xml"/><Relationship Id="rId89" Type="http://schemas.openxmlformats.org/officeDocument/2006/relationships/image" Target="media/image36.wmf"/><Relationship Id="rId88" Type="http://schemas.openxmlformats.org/officeDocument/2006/relationships/oleObject" Target="embeddings/oleObject36.bin"/><Relationship Id="rId87" Type="http://schemas.openxmlformats.org/officeDocument/2006/relationships/image" Target="media/image35.wmf"/><Relationship Id="rId86" Type="http://schemas.openxmlformats.org/officeDocument/2006/relationships/oleObject" Target="embeddings/oleObject35.bin"/><Relationship Id="rId85" Type="http://schemas.openxmlformats.org/officeDocument/2006/relationships/image" Target="media/image34.wmf"/><Relationship Id="rId84" Type="http://schemas.openxmlformats.org/officeDocument/2006/relationships/oleObject" Target="embeddings/oleObject34.bin"/><Relationship Id="rId83" Type="http://schemas.openxmlformats.org/officeDocument/2006/relationships/image" Target="media/image33.wmf"/><Relationship Id="rId82" Type="http://schemas.openxmlformats.org/officeDocument/2006/relationships/oleObject" Target="embeddings/oleObject33.bin"/><Relationship Id="rId81" Type="http://schemas.openxmlformats.org/officeDocument/2006/relationships/image" Target="media/image32.wmf"/><Relationship Id="rId80" Type="http://schemas.openxmlformats.org/officeDocument/2006/relationships/oleObject" Target="embeddings/oleObject32.bin"/><Relationship Id="rId8" Type="http://schemas.openxmlformats.org/officeDocument/2006/relationships/footer" Target="footer3.xml"/><Relationship Id="rId79" Type="http://schemas.openxmlformats.org/officeDocument/2006/relationships/image" Target="media/image31.wmf"/><Relationship Id="rId78" Type="http://schemas.openxmlformats.org/officeDocument/2006/relationships/oleObject" Target="embeddings/oleObject31.bin"/><Relationship Id="rId77" Type="http://schemas.openxmlformats.org/officeDocument/2006/relationships/image" Target="media/image30.wmf"/><Relationship Id="rId76" Type="http://schemas.openxmlformats.org/officeDocument/2006/relationships/oleObject" Target="embeddings/oleObject30.bin"/><Relationship Id="rId75" Type="http://schemas.openxmlformats.org/officeDocument/2006/relationships/image" Target="media/image29.wmf"/><Relationship Id="rId74" Type="http://schemas.openxmlformats.org/officeDocument/2006/relationships/oleObject" Target="embeddings/oleObject29.bin"/><Relationship Id="rId73" Type="http://schemas.openxmlformats.org/officeDocument/2006/relationships/image" Target="media/image28.wmf"/><Relationship Id="rId72" Type="http://schemas.openxmlformats.org/officeDocument/2006/relationships/oleObject" Target="embeddings/oleObject28.bin"/><Relationship Id="rId71" Type="http://schemas.openxmlformats.org/officeDocument/2006/relationships/image" Target="media/image27.wmf"/><Relationship Id="rId70" Type="http://schemas.openxmlformats.org/officeDocument/2006/relationships/oleObject" Target="embeddings/oleObject27.bin"/><Relationship Id="rId7" Type="http://schemas.openxmlformats.org/officeDocument/2006/relationships/footer" Target="footer2.xml"/><Relationship Id="rId69" Type="http://schemas.openxmlformats.org/officeDocument/2006/relationships/image" Target="media/image26.wmf"/><Relationship Id="rId68" Type="http://schemas.openxmlformats.org/officeDocument/2006/relationships/oleObject" Target="embeddings/oleObject26.bin"/><Relationship Id="rId67" Type="http://schemas.openxmlformats.org/officeDocument/2006/relationships/image" Target="media/image25.wmf"/><Relationship Id="rId66" Type="http://schemas.openxmlformats.org/officeDocument/2006/relationships/oleObject" Target="embeddings/oleObject25.bin"/><Relationship Id="rId65" Type="http://schemas.openxmlformats.org/officeDocument/2006/relationships/image" Target="media/image24.wmf"/><Relationship Id="rId64" Type="http://schemas.openxmlformats.org/officeDocument/2006/relationships/oleObject" Target="embeddings/oleObject24.bin"/><Relationship Id="rId63" Type="http://schemas.openxmlformats.org/officeDocument/2006/relationships/image" Target="media/image23.wmf"/><Relationship Id="rId62" Type="http://schemas.openxmlformats.org/officeDocument/2006/relationships/oleObject" Target="embeddings/oleObject23.bin"/><Relationship Id="rId61" Type="http://schemas.openxmlformats.org/officeDocument/2006/relationships/image" Target="media/image22.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image" Target="media/image21.wmf"/><Relationship Id="rId58" Type="http://schemas.openxmlformats.org/officeDocument/2006/relationships/oleObject" Target="embeddings/oleObject21.bin"/><Relationship Id="rId57" Type="http://schemas.openxmlformats.org/officeDocument/2006/relationships/image" Target="media/image20.wmf"/><Relationship Id="rId56" Type="http://schemas.openxmlformats.org/officeDocument/2006/relationships/oleObject" Target="embeddings/oleObject20.bin"/><Relationship Id="rId55" Type="http://schemas.openxmlformats.org/officeDocument/2006/relationships/image" Target="media/image19.wmf"/><Relationship Id="rId54" Type="http://schemas.openxmlformats.org/officeDocument/2006/relationships/oleObject" Target="embeddings/oleObject19.bin"/><Relationship Id="rId53" Type="http://schemas.openxmlformats.org/officeDocument/2006/relationships/image" Target="media/image18.wmf"/><Relationship Id="rId52" Type="http://schemas.openxmlformats.org/officeDocument/2006/relationships/oleObject" Target="embeddings/oleObject18.bin"/><Relationship Id="rId51" Type="http://schemas.openxmlformats.org/officeDocument/2006/relationships/image" Target="media/image17.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image" Target="media/image16.wmf"/><Relationship Id="rId48" Type="http://schemas.openxmlformats.org/officeDocument/2006/relationships/oleObject" Target="embeddings/oleObject16.bin"/><Relationship Id="rId47" Type="http://schemas.openxmlformats.org/officeDocument/2006/relationships/image" Target="media/image15.wmf"/><Relationship Id="rId46" Type="http://schemas.openxmlformats.org/officeDocument/2006/relationships/oleObject" Target="embeddings/oleObject15.bin"/><Relationship Id="rId45" Type="http://schemas.openxmlformats.org/officeDocument/2006/relationships/image" Target="media/image14.wmf"/><Relationship Id="rId44" Type="http://schemas.openxmlformats.org/officeDocument/2006/relationships/oleObject" Target="embeddings/oleObject14.bin"/><Relationship Id="rId43" Type="http://schemas.openxmlformats.org/officeDocument/2006/relationships/image" Target="media/image13.wmf"/><Relationship Id="rId42" Type="http://schemas.openxmlformats.org/officeDocument/2006/relationships/oleObject" Target="embeddings/oleObject13.bin"/><Relationship Id="rId41" Type="http://schemas.openxmlformats.org/officeDocument/2006/relationships/image" Target="media/image12.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1.bin"/><Relationship Id="rId37" Type="http://schemas.openxmlformats.org/officeDocument/2006/relationships/image" Target="media/image10.wmf"/><Relationship Id="rId36" Type="http://schemas.openxmlformats.org/officeDocument/2006/relationships/oleObject" Target="embeddings/oleObject10.bin"/><Relationship Id="rId35" Type="http://schemas.openxmlformats.org/officeDocument/2006/relationships/image" Target="media/image9.wmf"/><Relationship Id="rId34" Type="http://schemas.openxmlformats.org/officeDocument/2006/relationships/oleObject" Target="embeddings/oleObject9.bin"/><Relationship Id="rId33" Type="http://schemas.openxmlformats.org/officeDocument/2006/relationships/image" Target="media/image8.wmf"/><Relationship Id="rId32" Type="http://schemas.openxmlformats.org/officeDocument/2006/relationships/oleObject" Target="embeddings/oleObject8.bin"/><Relationship Id="rId31" Type="http://schemas.openxmlformats.org/officeDocument/2006/relationships/image" Target="media/image7.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5" Type="http://schemas.openxmlformats.org/officeDocument/2006/relationships/fontTable" Target="fontTable.xml"/><Relationship Id="rId104" Type="http://schemas.openxmlformats.org/officeDocument/2006/relationships/customXml" Target="../customXml/item2.xml"/><Relationship Id="rId103" Type="http://schemas.openxmlformats.org/officeDocument/2006/relationships/numbering" Target="numbering.xml"/><Relationship Id="rId102" Type="http://schemas.openxmlformats.org/officeDocument/2006/relationships/customXml" Target="../customXml/item1.xml"/><Relationship Id="rId101" Type="http://schemas.openxmlformats.org/officeDocument/2006/relationships/image" Target="media/image42.wmf"/><Relationship Id="rId100" Type="http://schemas.openxmlformats.org/officeDocument/2006/relationships/oleObject" Target="embeddings/oleObject42.bin"/><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508;&#31867;&#26816;&#39564;&#25253;&#21578;&#26684;&#24335;2004\T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82547-AD2E-404F-99DE-2900ACECA5FA}">
  <ds:schemaRefs/>
</ds:datastoreItem>
</file>

<file path=docProps/app.xml><?xml version="1.0" encoding="utf-8"?>
<Properties xmlns="http://schemas.openxmlformats.org/officeDocument/2006/extended-properties" xmlns:vt="http://schemas.openxmlformats.org/officeDocument/2006/docPropsVTypes">
  <Template>Tds</Template>
  <Pages>17</Pages>
  <Words>1886</Words>
  <Characters>10753</Characters>
  <Lines>89</Lines>
  <Paragraphs>25</Paragraphs>
  <TotalTime>3</TotalTime>
  <ScaleCrop>false</ScaleCrop>
  <LinksUpToDate>false</LinksUpToDate>
  <CharactersWithSpaces>12614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2019-06-25T06:59:00Z</dcterms:created>
  <dc:creator>yisi</dc:creator>
  <cp:lastModifiedBy>LWQ</cp:lastModifiedBy>
  <cp:lastPrinted>2019-02-20T01:33:00Z</cp:lastPrinted>
  <dcterms:modified xsi:type="dcterms:W3CDTF">2019-06-26T02:40:16Z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